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right="960" w:firstLine="0" w:firstLineChars="0"/>
        <w:jc w:val="right"/>
        <w:rPr>
          <w:color w:val="000000" w:themeColor="text1"/>
          <w:szCs w:val="22"/>
          <w14:textFill>
            <w14:solidFill>
              <w14:schemeClr w14:val="tx1"/>
            </w14:solidFill>
          </w14:textFill>
        </w:rPr>
      </w:pPr>
      <w:bookmarkStart w:id="0" w:name="_Hlk80952050"/>
      <w:r>
        <w:rPr>
          <w:color w:val="000000" w:themeColor="text1"/>
          <w:szCs w:val="22"/>
          <w14:textFill>
            <w14:solidFill>
              <w14:schemeClr w14:val="tx1"/>
            </w14:solidFill>
          </w14:textFill>
        </w:rPr>
        <w:t>预案编号：</w:t>
      </w:r>
      <w:r>
        <w:rPr>
          <w:rFonts w:hint="eastAsia"/>
          <w:color w:val="000000" w:themeColor="text1"/>
          <w:szCs w:val="22"/>
          <w:lang w:val="en-US" w:eastAsia="zh-CN"/>
          <w14:textFill>
            <w14:solidFill>
              <w14:schemeClr w14:val="tx1"/>
            </w14:solidFill>
          </w14:textFill>
        </w:rPr>
        <w:t>RC</w:t>
      </w:r>
      <w:r>
        <w:rPr>
          <w:color w:val="000000" w:themeColor="text1"/>
          <w:szCs w:val="22"/>
          <w14:textFill>
            <w14:solidFill>
              <w14:schemeClr w14:val="tx1"/>
            </w14:solidFill>
          </w14:textFill>
        </w:rPr>
        <w:t>-</w:t>
      </w:r>
      <w:r>
        <w:rPr>
          <w:rFonts w:hint="eastAsia"/>
          <w:color w:val="000000" w:themeColor="text1"/>
          <w:szCs w:val="22"/>
          <w:lang w:val="en-US" w:eastAsia="zh-CN"/>
          <w14:textFill>
            <w14:solidFill>
              <w14:schemeClr w14:val="tx1"/>
            </w14:solidFill>
          </w14:textFill>
        </w:rPr>
        <w:t>TSGC</w:t>
      </w:r>
      <w:r>
        <w:rPr>
          <w:color w:val="000000" w:themeColor="text1"/>
          <w:szCs w:val="22"/>
          <w14:textFill>
            <w14:solidFill>
              <w14:schemeClr w14:val="tx1"/>
            </w14:solidFill>
          </w14:textFill>
        </w:rPr>
        <w:t>-01</w:t>
      </w:r>
    </w:p>
    <w:p>
      <w:pPr>
        <w:ind w:right="958"/>
        <w:jc w:val="center"/>
        <w:rPr>
          <w:color w:val="000000" w:themeColor="text1"/>
          <w:szCs w:val="22"/>
          <w14:textFill>
            <w14:solidFill>
              <w14:schemeClr w14:val="tx1"/>
            </w14:solidFill>
          </w14:textFill>
        </w:rPr>
      </w:pPr>
      <w:r>
        <w:rPr>
          <w:rFonts w:hint="eastAsia"/>
          <w:color w:val="000000" w:themeColor="text1"/>
          <w:szCs w:val="22"/>
          <w:lang w:val="en-US" w:eastAsia="zh-CN"/>
          <w14:textFill>
            <w14:solidFill>
              <w14:schemeClr w14:val="tx1"/>
            </w14:solidFill>
          </w14:textFill>
        </w:rPr>
        <w:t xml:space="preserve">                                        </w:t>
      </w:r>
      <w:r>
        <w:rPr>
          <w:color w:val="000000" w:themeColor="text1"/>
          <w:szCs w:val="22"/>
          <w14:textFill>
            <w14:solidFill>
              <w14:schemeClr w14:val="tx1"/>
            </w14:solidFill>
          </w14:textFill>
        </w:rPr>
        <w:t>预案版本号：202</w:t>
      </w:r>
      <w:r>
        <w:rPr>
          <w:rFonts w:hint="eastAsia"/>
          <w:color w:val="000000" w:themeColor="text1"/>
          <w:szCs w:val="22"/>
          <w:lang w:val="en-US" w:eastAsia="zh-CN"/>
          <w14:textFill>
            <w14:solidFill>
              <w14:schemeClr w14:val="tx1"/>
            </w14:solidFill>
          </w14:textFill>
        </w:rPr>
        <w:t>3</w:t>
      </w:r>
      <w:r>
        <w:rPr>
          <w:color w:val="000000" w:themeColor="text1"/>
          <w:szCs w:val="22"/>
          <w14:textFill>
            <w14:solidFill>
              <w14:schemeClr w14:val="tx1"/>
            </w14:solidFill>
          </w14:textFill>
        </w:rPr>
        <w:t>版</w:t>
      </w:r>
    </w:p>
    <w:p>
      <w:pPr>
        <w:ind w:right="960" w:firstLine="560"/>
        <w:jc w:val="center"/>
        <w:rPr>
          <w:color w:val="000000" w:themeColor="text1"/>
          <w:szCs w:val="22"/>
          <w14:textFill>
            <w14:solidFill>
              <w14:schemeClr w14:val="tx1"/>
            </w14:solidFill>
          </w14:textFill>
        </w:rPr>
      </w:pPr>
    </w:p>
    <w:p>
      <w:pPr>
        <w:ind w:right="960" w:firstLine="560"/>
        <w:jc w:val="center"/>
        <w:rPr>
          <w:color w:val="000000" w:themeColor="text1"/>
          <w:szCs w:val="22"/>
          <w14:textFill>
            <w14:solidFill>
              <w14:schemeClr w14:val="tx1"/>
            </w14:solidFill>
          </w14:textFill>
        </w:rPr>
      </w:pPr>
    </w:p>
    <w:p>
      <w:pPr>
        <w:spacing w:line="240" w:lineRule="auto"/>
        <w:ind w:firstLine="0" w:firstLineChars="0"/>
        <w:jc w:val="center"/>
        <w:rPr>
          <w:rFonts w:hint="eastAsia" w:eastAsia="仿宋" w:cs="Times New Roman"/>
          <w:b/>
          <w:bCs/>
          <w:color w:val="auto"/>
          <w:sz w:val="36"/>
          <w:szCs w:val="36"/>
        </w:rPr>
      </w:pPr>
      <w:bookmarkStart w:id="1" w:name="_Hlk79680797"/>
      <w:bookmarkStart w:id="2" w:name="_Hlk80953288"/>
      <w:r>
        <w:rPr>
          <w:rFonts w:hint="eastAsia" w:eastAsia="仿宋" w:cs="Times New Roman"/>
          <w:b/>
          <w:bCs/>
          <w:color w:val="auto"/>
          <w:sz w:val="36"/>
          <w:szCs w:val="36"/>
        </w:rPr>
        <w:t>陕西</w:t>
      </w:r>
      <w:r>
        <w:rPr>
          <w:rFonts w:hint="eastAsia" w:cs="Times New Roman"/>
          <w:b/>
          <w:bCs/>
          <w:color w:val="auto"/>
          <w:sz w:val="36"/>
          <w:szCs w:val="36"/>
          <w:lang w:eastAsia="zh-CN"/>
        </w:rPr>
        <w:t>交控集团</w:t>
      </w:r>
      <w:r>
        <w:rPr>
          <w:rFonts w:hint="eastAsia" w:eastAsia="仿宋" w:cs="Times New Roman"/>
          <w:b/>
          <w:bCs/>
          <w:color w:val="auto"/>
          <w:sz w:val="36"/>
          <w:szCs w:val="36"/>
        </w:rPr>
        <w:t>绕城高速公路扩能工程管理处</w:t>
      </w:r>
    </w:p>
    <w:p>
      <w:pPr>
        <w:spacing w:line="273" w:lineRule="auto"/>
        <w:ind w:firstLine="0" w:firstLineChars="0"/>
        <w:jc w:val="center"/>
        <w:rPr>
          <w:rFonts w:eastAsia="仿宋" w:cs="Times New Roman"/>
          <w:b/>
          <w:bCs/>
          <w:color w:val="auto"/>
          <w:sz w:val="44"/>
          <w:szCs w:val="44"/>
        </w:rPr>
      </w:pPr>
      <w:r>
        <w:rPr>
          <w:rFonts w:hint="eastAsia" w:eastAsia="仿宋" w:cs="Times New Roman"/>
          <w:b/>
          <w:bCs/>
          <w:color w:val="auto"/>
          <w:sz w:val="44"/>
          <w:szCs w:val="44"/>
        </w:rPr>
        <w:t>西安绕城高速公路通行能力提升工程</w:t>
      </w:r>
    </w:p>
    <w:p>
      <w:pPr>
        <w:spacing w:line="276" w:lineRule="auto"/>
        <w:ind w:firstLine="0" w:firstLineChars="0"/>
        <w:jc w:val="center"/>
        <w:rPr>
          <w:b/>
          <w:bCs/>
          <w:color w:val="000000" w:themeColor="text1"/>
          <w:sz w:val="52"/>
          <w:szCs w:val="52"/>
          <w14:textFill>
            <w14:solidFill>
              <w14:schemeClr w14:val="tx1"/>
            </w14:solidFill>
          </w14:textFill>
        </w:rPr>
      </w:pPr>
      <w:r>
        <w:rPr>
          <w:b/>
          <w:bCs/>
          <w:color w:val="000000" w:themeColor="text1"/>
          <w:sz w:val="52"/>
          <w:szCs w:val="52"/>
          <w14:textFill>
            <w14:solidFill>
              <w14:schemeClr w14:val="tx1"/>
            </w14:solidFill>
          </w14:textFill>
        </w:rPr>
        <w:t>突发环境事件</w:t>
      </w:r>
      <w:bookmarkEnd w:id="1"/>
      <w:r>
        <w:rPr>
          <w:b/>
          <w:bCs/>
          <w:color w:val="000000" w:themeColor="text1"/>
          <w:sz w:val="52"/>
          <w:szCs w:val="52"/>
          <w14:textFill>
            <w14:solidFill>
              <w14:schemeClr w14:val="tx1"/>
            </w14:solidFill>
          </w14:textFill>
        </w:rPr>
        <w:t>风险评估报告</w:t>
      </w:r>
      <w:bookmarkEnd w:id="2"/>
    </w:p>
    <w:p>
      <w:pPr>
        <w:spacing w:line="960" w:lineRule="auto"/>
        <w:ind w:firstLine="0" w:firstLineChars="0"/>
        <w:jc w:val="center"/>
        <w:rPr>
          <w:b/>
          <w:bCs/>
          <w:color w:val="000000" w:themeColor="text1"/>
          <w:sz w:val="72"/>
          <w:szCs w:val="72"/>
          <w14:textFill>
            <w14:solidFill>
              <w14:schemeClr w14:val="tx1"/>
            </w14:solidFill>
          </w14:textFill>
        </w:rPr>
      </w:pPr>
    </w:p>
    <w:p>
      <w:pPr>
        <w:spacing w:line="960" w:lineRule="auto"/>
        <w:ind w:firstLine="0" w:firstLineChars="0"/>
        <w:jc w:val="center"/>
        <w:rPr>
          <w:b/>
          <w:bCs/>
          <w:color w:val="000000" w:themeColor="text1"/>
          <w:sz w:val="72"/>
          <w:szCs w:val="72"/>
          <w14:textFill>
            <w14:solidFill>
              <w14:schemeClr w14:val="tx1"/>
            </w14:solidFill>
          </w14:textFill>
        </w:rPr>
      </w:pPr>
    </w:p>
    <w:p>
      <w:pPr>
        <w:spacing w:line="960" w:lineRule="auto"/>
        <w:ind w:firstLine="0" w:firstLineChars="0"/>
        <w:jc w:val="center"/>
        <w:rPr>
          <w:b/>
          <w:bCs/>
          <w:color w:val="000000" w:themeColor="text1"/>
          <w:sz w:val="72"/>
          <w:szCs w:val="72"/>
          <w14:textFill>
            <w14:solidFill>
              <w14:schemeClr w14:val="tx1"/>
            </w14:solidFill>
          </w14:textFill>
        </w:rPr>
      </w:pPr>
    </w:p>
    <w:p>
      <w:pPr>
        <w:spacing w:line="960" w:lineRule="auto"/>
        <w:ind w:firstLine="0" w:firstLineChars="0"/>
        <w:jc w:val="center"/>
        <w:rPr>
          <w:b/>
          <w:bCs/>
          <w:color w:val="000000" w:themeColor="text1"/>
          <w:sz w:val="72"/>
          <w:szCs w:val="72"/>
          <w14:textFill>
            <w14:solidFill>
              <w14:schemeClr w14:val="tx1"/>
            </w14:solidFill>
          </w14:textFill>
        </w:rPr>
      </w:pPr>
    </w:p>
    <w:p>
      <w:pPr>
        <w:spacing w:line="960" w:lineRule="auto"/>
        <w:ind w:firstLine="0" w:firstLineChars="0"/>
        <w:jc w:val="center"/>
        <w:rPr>
          <w:b/>
          <w:bCs/>
          <w:color w:val="000000" w:themeColor="text1"/>
          <w:sz w:val="72"/>
          <w:szCs w:val="72"/>
          <w14:textFill>
            <w14:solidFill>
              <w14:schemeClr w14:val="tx1"/>
            </w14:solidFill>
          </w14:textFill>
        </w:rPr>
      </w:pPr>
    </w:p>
    <w:p>
      <w:pPr>
        <w:ind w:right="-2" w:firstLine="321" w:firstLineChars="100"/>
        <w:jc w:val="both"/>
        <w:rPr>
          <w:b/>
          <w:bCs/>
          <w:color w:val="000000" w:themeColor="text1"/>
          <w:kern w:val="0"/>
          <w:sz w:val="32"/>
          <w:szCs w:val="32"/>
          <w:u w:val="single"/>
          <w14:textFill>
            <w14:solidFill>
              <w14:schemeClr w14:val="tx1"/>
            </w14:solidFill>
          </w14:textFill>
        </w:rPr>
      </w:pPr>
      <w:bookmarkStart w:id="3" w:name="_Hlk80952255"/>
      <w:bookmarkStart w:id="4" w:name="_Hlk80951863"/>
      <w:r>
        <w:rPr>
          <w:b/>
          <w:bCs/>
          <w:color w:val="000000" w:themeColor="text1"/>
          <w:sz w:val="32"/>
          <w:szCs w:val="32"/>
          <w14:textFill>
            <w14:solidFill>
              <w14:schemeClr w14:val="tx1"/>
            </w14:solidFill>
          </w14:textFill>
        </w:rPr>
        <w:t>编制单位：</w:t>
      </w:r>
      <w:r>
        <w:rPr>
          <w:rFonts w:hint="eastAsia"/>
          <w:b/>
          <w:bCs/>
          <w:color w:val="000000" w:themeColor="text1"/>
          <w:sz w:val="32"/>
          <w:szCs w:val="32"/>
          <w:u w:val="single"/>
          <w14:textFill>
            <w14:solidFill>
              <w14:schemeClr w14:val="tx1"/>
            </w14:solidFill>
          </w14:textFill>
        </w:rPr>
        <w:t>陕西交控集团</w:t>
      </w:r>
      <w:r>
        <w:rPr>
          <w:rFonts w:hint="eastAsia" w:eastAsia="仿宋" w:cs="Times New Roman"/>
          <w:b/>
          <w:bCs/>
          <w:color w:val="auto"/>
          <w:spacing w:val="-20"/>
          <w:kern w:val="0"/>
          <w:sz w:val="32"/>
          <w:szCs w:val="32"/>
          <w:u w:val="single"/>
          <w:lang w:val="en-US" w:eastAsia="zh-CN"/>
        </w:rPr>
        <w:t>绕城高速公路扩能工程管理处</w:t>
      </w:r>
      <w:r>
        <w:rPr>
          <w:rFonts w:hint="eastAsia" w:cs="Times New Roman"/>
          <w:b/>
          <w:bCs/>
          <w:color w:val="auto"/>
          <w:spacing w:val="-20"/>
          <w:kern w:val="0"/>
          <w:sz w:val="32"/>
          <w:szCs w:val="32"/>
          <w:u w:val="single"/>
          <w:lang w:val="en-US" w:eastAsia="zh-CN"/>
        </w:rPr>
        <w:t xml:space="preserve">         </w:t>
      </w:r>
      <w:r>
        <w:rPr>
          <w:rFonts w:hint="eastAsia" w:eastAsia="仿宋" w:cs="Times New Roman"/>
          <w:b/>
          <w:bCs/>
          <w:color w:val="auto"/>
          <w:spacing w:val="-20"/>
          <w:kern w:val="0"/>
          <w:sz w:val="32"/>
          <w:szCs w:val="32"/>
          <w:u w:val="single"/>
          <w:lang w:val="en-US" w:eastAsia="zh-CN"/>
        </w:rPr>
        <w:t xml:space="preserve"> </w:t>
      </w:r>
    </w:p>
    <w:p>
      <w:pPr>
        <w:widowControl/>
        <w:ind w:right="-2" w:firstLine="321" w:firstLineChars="100"/>
        <w:rPr>
          <w:b/>
          <w:bCs/>
          <w:color w:val="000000" w:themeColor="text1"/>
          <w:kern w:val="0"/>
          <w:sz w:val="32"/>
          <w:szCs w:val="32"/>
          <w:u w:val="single"/>
          <w14:textFill>
            <w14:solidFill>
              <w14:schemeClr w14:val="tx1"/>
            </w14:solidFill>
          </w14:textFill>
        </w:rPr>
        <w:sectPr>
          <w:headerReference r:id="rId7" w:type="first"/>
          <w:footerReference r:id="rId10" w:type="first"/>
          <w:headerReference r:id="rId5" w:type="default"/>
          <w:footerReference r:id="rId8" w:type="default"/>
          <w:headerReference r:id="rId6" w:type="even"/>
          <w:footerReference r:id="rId9" w:type="even"/>
          <w:pgSz w:w="11906" w:h="16838"/>
          <w:pgMar w:top="1440" w:right="1418" w:bottom="1440" w:left="1418" w:header="851" w:footer="992" w:gutter="0"/>
          <w:cols w:space="720" w:num="1"/>
          <w:titlePg/>
          <w:docGrid w:type="lines" w:linePitch="326" w:charSpace="0"/>
        </w:sectPr>
      </w:pPr>
      <w:bookmarkStart w:id="5" w:name="_Hlk80951986"/>
      <w:r>
        <w:rPr>
          <w:b/>
          <w:bCs/>
          <w:color w:val="000000" w:themeColor="text1"/>
          <w:kern w:val="0"/>
          <w:sz w:val="32"/>
          <w:szCs w:val="32"/>
          <w14:textFill>
            <w14:solidFill>
              <w14:schemeClr w14:val="tx1"/>
            </w14:solidFill>
          </w14:textFill>
        </w:rPr>
        <w:t>编制时间：</w:t>
      </w:r>
      <w:r>
        <w:rPr>
          <w:b/>
          <w:bCs/>
          <w:color w:val="000000" w:themeColor="text1"/>
          <w:kern w:val="0"/>
          <w:sz w:val="32"/>
          <w:szCs w:val="32"/>
          <w:u w:val="single"/>
          <w14:textFill>
            <w14:solidFill>
              <w14:schemeClr w14:val="tx1"/>
            </w14:solidFill>
          </w14:textFill>
        </w:rPr>
        <w:t xml:space="preserve">            </w:t>
      </w:r>
      <w:r>
        <w:rPr>
          <w:rFonts w:hint="eastAsia"/>
          <w:b/>
          <w:bCs/>
          <w:color w:val="000000" w:themeColor="text1"/>
          <w:kern w:val="0"/>
          <w:sz w:val="32"/>
          <w:szCs w:val="32"/>
          <w:u w:val="single"/>
          <w:lang w:val="en-US" w:eastAsia="zh-CN"/>
          <w14:textFill>
            <w14:solidFill>
              <w14:schemeClr w14:val="tx1"/>
            </w14:solidFill>
          </w14:textFill>
        </w:rPr>
        <w:t xml:space="preserve">  </w:t>
      </w:r>
      <w:r>
        <w:rPr>
          <w:b/>
          <w:bCs/>
          <w:color w:val="000000" w:themeColor="text1"/>
          <w:kern w:val="0"/>
          <w:sz w:val="32"/>
          <w:szCs w:val="32"/>
          <w:u w:val="single"/>
          <w14:textFill>
            <w14:solidFill>
              <w14:schemeClr w14:val="tx1"/>
            </w14:solidFill>
          </w14:textFill>
        </w:rPr>
        <w:t xml:space="preserve"> 202</w:t>
      </w:r>
      <w:r>
        <w:rPr>
          <w:rFonts w:hint="eastAsia"/>
          <w:b/>
          <w:bCs/>
          <w:color w:val="000000" w:themeColor="text1"/>
          <w:kern w:val="0"/>
          <w:sz w:val="32"/>
          <w:szCs w:val="32"/>
          <w:u w:val="single"/>
          <w:lang w:val="en-US" w:eastAsia="zh-CN"/>
          <w14:textFill>
            <w14:solidFill>
              <w14:schemeClr w14:val="tx1"/>
            </w14:solidFill>
          </w14:textFill>
        </w:rPr>
        <w:t>3</w:t>
      </w:r>
      <w:r>
        <w:rPr>
          <w:b/>
          <w:bCs/>
          <w:color w:val="000000" w:themeColor="text1"/>
          <w:kern w:val="0"/>
          <w:sz w:val="32"/>
          <w:szCs w:val="32"/>
          <w:u w:val="single"/>
          <w14:textFill>
            <w14:solidFill>
              <w14:schemeClr w14:val="tx1"/>
            </w14:solidFill>
          </w14:textFill>
        </w:rPr>
        <w:t>年</w:t>
      </w:r>
      <w:r>
        <w:rPr>
          <w:rFonts w:hint="eastAsia"/>
          <w:b/>
          <w:bCs/>
          <w:color w:val="000000" w:themeColor="text1"/>
          <w:kern w:val="0"/>
          <w:sz w:val="32"/>
          <w:szCs w:val="32"/>
          <w:u w:val="single"/>
          <w:lang w:val="en-US" w:eastAsia="zh-CN"/>
          <w14:textFill>
            <w14:solidFill>
              <w14:schemeClr w14:val="tx1"/>
            </w14:solidFill>
          </w14:textFill>
        </w:rPr>
        <w:t>4</w:t>
      </w:r>
      <w:r>
        <w:rPr>
          <w:b/>
          <w:bCs/>
          <w:color w:val="000000" w:themeColor="text1"/>
          <w:kern w:val="0"/>
          <w:sz w:val="32"/>
          <w:szCs w:val="32"/>
          <w:u w:val="single"/>
          <w14:textFill>
            <w14:solidFill>
              <w14:schemeClr w14:val="tx1"/>
            </w14:solidFill>
          </w14:textFill>
        </w:rPr>
        <w:t xml:space="preserve">月                </w:t>
      </w:r>
      <w:bookmarkEnd w:id="3"/>
      <w:r>
        <w:rPr>
          <w:b/>
          <w:bCs/>
          <w:color w:val="000000" w:themeColor="text1"/>
          <w:kern w:val="0"/>
          <w:sz w:val="32"/>
          <w:szCs w:val="32"/>
          <w:u w:val="single"/>
          <w14:textFill>
            <w14:solidFill>
              <w14:schemeClr w14:val="tx1"/>
            </w14:solidFill>
          </w14:textFill>
        </w:rPr>
        <w:t xml:space="preserve"> </w:t>
      </w:r>
    </w:p>
    <w:bookmarkEnd w:id="0"/>
    <w:bookmarkEnd w:id="4"/>
    <w:bookmarkEnd w:id="5"/>
    <w:p>
      <w:pPr>
        <w:widowControl/>
        <w:spacing w:line="240" w:lineRule="auto"/>
        <w:ind w:firstLine="0" w:firstLineChars="0"/>
        <w:jc w:val="left"/>
        <w:rPr>
          <w:b/>
          <w:bCs/>
          <w:color w:val="000000" w:themeColor="text1"/>
          <w:sz w:val="44"/>
          <w:szCs w:val="44"/>
          <w14:textFill>
            <w14:solidFill>
              <w14:schemeClr w14:val="tx1"/>
            </w14:solidFill>
          </w14:textFill>
        </w:rPr>
      </w:pPr>
      <w:r>
        <w:rPr>
          <w:b/>
          <w:bCs/>
          <w:color w:val="000000" w:themeColor="text1"/>
          <w:sz w:val="44"/>
          <w:szCs w:val="44"/>
          <w14:textFill>
            <w14:solidFill>
              <w14:schemeClr w14:val="tx1"/>
            </w14:solidFill>
          </w14:textFill>
        </w:rPr>
        <w:br w:type="page"/>
      </w:r>
    </w:p>
    <w:p>
      <w:pPr>
        <w:widowControl/>
        <w:ind w:firstLine="883"/>
        <w:jc w:val="left"/>
        <w:rPr>
          <w:b/>
          <w:bCs/>
          <w:color w:val="000000" w:themeColor="text1"/>
          <w:sz w:val="44"/>
          <w:szCs w:val="44"/>
          <w14:textFill>
            <w14:solidFill>
              <w14:schemeClr w14:val="tx1"/>
            </w14:solidFill>
          </w14:textFill>
        </w:rPr>
        <w:sectPr>
          <w:headerReference r:id="rId13" w:type="first"/>
          <w:footerReference r:id="rId15" w:type="first"/>
          <w:headerReference r:id="rId11" w:type="default"/>
          <w:headerReference r:id="rId12" w:type="even"/>
          <w:footerReference r:id="rId14" w:type="even"/>
          <w:type w:val="continuous"/>
          <w:pgSz w:w="11906" w:h="16838"/>
          <w:pgMar w:top="1440" w:right="1800" w:bottom="1440" w:left="1800" w:header="720" w:footer="720" w:gutter="0"/>
          <w:cols w:space="720" w:num="1"/>
          <w:docGrid w:type="lines" w:linePitch="286" w:charSpace="0"/>
        </w:sectPr>
      </w:pPr>
    </w:p>
    <w:p>
      <w:pPr>
        <w:pStyle w:val="9"/>
        <w:jc w:val="center"/>
        <w:rPr>
          <w:color w:val="000000" w:themeColor="text1"/>
          <w14:textFill>
            <w14:solidFill>
              <w14:schemeClr w14:val="tx1"/>
            </w14:solidFill>
          </w14:textFill>
        </w:rPr>
      </w:pPr>
      <w:bookmarkStart w:id="6" w:name="_Toc47541592"/>
      <w:bookmarkEnd w:id="6"/>
      <w:bookmarkStart w:id="7" w:name="_Toc71359384"/>
      <w:bookmarkStart w:id="8" w:name="_Toc69890520"/>
      <w:bookmarkStart w:id="9" w:name="_Toc80973299"/>
      <w:r>
        <w:rPr>
          <w:color w:val="000000" w:themeColor="text1"/>
          <w:lang w:val="zh-CN"/>
          <w14:textFill>
            <w14:solidFill>
              <w14:schemeClr w14:val="tx1"/>
            </w14:solidFill>
          </w14:textFill>
        </w:rPr>
        <w:t>目  录</w:t>
      </w:r>
      <w:bookmarkEnd w:id="7"/>
      <w:bookmarkEnd w:id="8"/>
      <w:bookmarkEnd w:id="9"/>
      <w:r>
        <w:rPr>
          <w:color w:val="000000" w:themeColor="text1"/>
          <w:sz w:val="24"/>
          <w:szCs w:val="24"/>
          <w14:textFill>
            <w14:solidFill>
              <w14:schemeClr w14:val="tx1"/>
            </w14:solidFill>
          </w14:textFill>
        </w:rPr>
        <w:fldChar w:fldCharType="begin"/>
      </w:r>
      <w:r>
        <w:rPr>
          <w:color w:val="000000" w:themeColor="text1"/>
          <w:sz w:val="24"/>
          <w:szCs w:val="24"/>
          <w14:textFill>
            <w14:solidFill>
              <w14:schemeClr w14:val="tx1"/>
            </w14:solidFill>
          </w14:textFill>
        </w:rPr>
        <w:instrText xml:space="preserve"> TOC \o "1-2" \h \z \u </w:instrText>
      </w:r>
      <w:r>
        <w:rPr>
          <w:color w:val="000000" w:themeColor="text1"/>
          <w:sz w:val="24"/>
          <w:szCs w:val="24"/>
          <w14:textFill>
            <w14:solidFill>
              <w14:schemeClr w14:val="tx1"/>
            </w14:solidFill>
          </w14:textFill>
        </w:rPr>
        <w:fldChar w:fldCharType="separate"/>
      </w:r>
    </w:p>
    <w:p>
      <w:pPr>
        <w:pStyle w:val="18"/>
        <w:tabs>
          <w:tab w:val="right" w:leader="hyphen" w:pos="8296"/>
        </w:tabs>
        <w:ind w:firstLine="560"/>
        <w:rPr>
          <w:b/>
          <w:bCs/>
          <w:color w:val="000000" w:themeColor="text1"/>
          <w:sz w:val="21"/>
          <w:szCs w:val="22"/>
          <w14:textFill>
            <w14:solidFill>
              <w14:schemeClr w14:val="tx1"/>
            </w14:solidFill>
          </w14:textFill>
        </w:rPr>
      </w:pPr>
      <w:r>
        <w:fldChar w:fldCharType="begin"/>
      </w:r>
      <w:r>
        <w:instrText xml:space="preserve"> HYPERLINK \l "_Toc80973300" </w:instrText>
      </w:r>
      <w:r>
        <w:fldChar w:fldCharType="separate"/>
      </w:r>
      <w:r>
        <w:rPr>
          <w:rStyle w:val="26"/>
          <w:b/>
          <w:bCs/>
          <w:color w:val="000000" w:themeColor="text1"/>
          <w14:textFill>
            <w14:solidFill>
              <w14:schemeClr w14:val="tx1"/>
            </w14:solidFill>
          </w14:textFill>
        </w:rPr>
        <w:t>1 前言</w:t>
      </w:r>
      <w:r>
        <w:rPr>
          <w:b/>
          <w:bCs/>
          <w:color w:val="000000" w:themeColor="text1"/>
          <w14:textFill>
            <w14:solidFill>
              <w14:schemeClr w14:val="tx1"/>
            </w14:solidFill>
          </w14:textFill>
        </w:rPr>
        <w:tab/>
      </w:r>
      <w:r>
        <w:rPr>
          <w:b/>
          <w:bCs/>
          <w:color w:val="000000" w:themeColor="text1"/>
          <w14:textFill>
            <w14:solidFill>
              <w14:schemeClr w14:val="tx1"/>
            </w14:solidFill>
          </w14:textFill>
        </w:rPr>
        <w:fldChar w:fldCharType="begin"/>
      </w:r>
      <w:r>
        <w:rPr>
          <w:b/>
          <w:bCs/>
          <w:color w:val="000000" w:themeColor="text1"/>
          <w14:textFill>
            <w14:solidFill>
              <w14:schemeClr w14:val="tx1"/>
            </w14:solidFill>
          </w14:textFill>
        </w:rPr>
        <w:instrText xml:space="preserve"> PAGEREF _Toc80973300 \h </w:instrText>
      </w:r>
      <w:r>
        <w:rPr>
          <w:b/>
          <w:bCs/>
          <w:color w:val="000000" w:themeColor="text1"/>
          <w14:textFill>
            <w14:solidFill>
              <w14:schemeClr w14:val="tx1"/>
            </w14:solidFill>
          </w14:textFill>
        </w:rPr>
        <w:fldChar w:fldCharType="separate"/>
      </w:r>
      <w:r>
        <w:rPr>
          <w:b/>
          <w:bCs/>
          <w:color w:val="000000" w:themeColor="text1"/>
          <w14:textFill>
            <w14:solidFill>
              <w14:schemeClr w14:val="tx1"/>
            </w14:solidFill>
          </w14:textFill>
        </w:rPr>
        <w:t>1</w:t>
      </w:r>
      <w:r>
        <w:rPr>
          <w:b/>
          <w:bCs/>
          <w:color w:val="000000" w:themeColor="text1"/>
          <w14:textFill>
            <w14:solidFill>
              <w14:schemeClr w14:val="tx1"/>
            </w14:solidFill>
          </w14:textFill>
        </w:rPr>
        <w:fldChar w:fldCharType="end"/>
      </w:r>
      <w:r>
        <w:rPr>
          <w:b/>
          <w:bCs/>
          <w:color w:val="000000" w:themeColor="text1"/>
          <w14:textFill>
            <w14:solidFill>
              <w14:schemeClr w14:val="tx1"/>
            </w14:solidFill>
          </w14:textFill>
        </w:rPr>
        <w:fldChar w:fldCharType="end"/>
      </w:r>
    </w:p>
    <w:p>
      <w:pPr>
        <w:pStyle w:val="18"/>
        <w:tabs>
          <w:tab w:val="right" w:leader="hyphen" w:pos="8296"/>
        </w:tabs>
        <w:ind w:firstLine="560"/>
        <w:rPr>
          <w:b/>
          <w:bCs/>
          <w:color w:val="000000" w:themeColor="text1"/>
          <w:sz w:val="21"/>
          <w:szCs w:val="22"/>
          <w14:textFill>
            <w14:solidFill>
              <w14:schemeClr w14:val="tx1"/>
            </w14:solidFill>
          </w14:textFill>
        </w:rPr>
      </w:pPr>
      <w:r>
        <w:fldChar w:fldCharType="begin"/>
      </w:r>
      <w:r>
        <w:instrText xml:space="preserve"> HYPERLINK \l "_Toc80973301" </w:instrText>
      </w:r>
      <w:r>
        <w:fldChar w:fldCharType="separate"/>
      </w:r>
      <w:r>
        <w:rPr>
          <w:rStyle w:val="26"/>
          <w:b/>
          <w:bCs/>
          <w:color w:val="000000" w:themeColor="text1"/>
          <w14:textFill>
            <w14:solidFill>
              <w14:schemeClr w14:val="tx1"/>
            </w14:solidFill>
          </w14:textFill>
        </w:rPr>
        <w:t>2 总则</w:t>
      </w:r>
      <w:r>
        <w:rPr>
          <w:b/>
          <w:bCs/>
          <w:color w:val="000000" w:themeColor="text1"/>
          <w14:textFill>
            <w14:solidFill>
              <w14:schemeClr w14:val="tx1"/>
            </w14:solidFill>
          </w14:textFill>
        </w:rPr>
        <w:tab/>
      </w:r>
      <w:r>
        <w:rPr>
          <w:b/>
          <w:bCs/>
          <w:color w:val="000000" w:themeColor="text1"/>
          <w14:textFill>
            <w14:solidFill>
              <w14:schemeClr w14:val="tx1"/>
            </w14:solidFill>
          </w14:textFill>
        </w:rPr>
        <w:fldChar w:fldCharType="begin"/>
      </w:r>
      <w:r>
        <w:rPr>
          <w:b/>
          <w:bCs/>
          <w:color w:val="000000" w:themeColor="text1"/>
          <w14:textFill>
            <w14:solidFill>
              <w14:schemeClr w14:val="tx1"/>
            </w14:solidFill>
          </w14:textFill>
        </w:rPr>
        <w:instrText xml:space="preserve"> PAGEREF _Toc80973301 \h </w:instrText>
      </w:r>
      <w:r>
        <w:rPr>
          <w:b/>
          <w:bCs/>
          <w:color w:val="000000" w:themeColor="text1"/>
          <w14:textFill>
            <w14:solidFill>
              <w14:schemeClr w14:val="tx1"/>
            </w14:solidFill>
          </w14:textFill>
        </w:rPr>
        <w:fldChar w:fldCharType="separate"/>
      </w:r>
      <w:r>
        <w:rPr>
          <w:b/>
          <w:bCs/>
          <w:color w:val="000000" w:themeColor="text1"/>
          <w14:textFill>
            <w14:solidFill>
              <w14:schemeClr w14:val="tx1"/>
            </w14:solidFill>
          </w14:textFill>
        </w:rPr>
        <w:t>3</w:t>
      </w:r>
      <w:r>
        <w:rPr>
          <w:b/>
          <w:bCs/>
          <w:color w:val="000000" w:themeColor="text1"/>
          <w14:textFill>
            <w14:solidFill>
              <w14:schemeClr w14:val="tx1"/>
            </w14:solidFill>
          </w14:textFill>
        </w:rPr>
        <w:fldChar w:fldCharType="end"/>
      </w:r>
      <w:r>
        <w:rPr>
          <w:b/>
          <w:bCs/>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"_Toc80973302" </w:instrText>
      </w:r>
      <w:r>
        <w:fldChar w:fldCharType="separate"/>
      </w:r>
      <w:r>
        <w:rPr>
          <w:rStyle w:val="26"/>
          <w:color w:val="000000" w:themeColor="text1"/>
          <w14:textFill>
            <w14:solidFill>
              <w14:schemeClr w14:val="tx1"/>
            </w14:solidFill>
          </w14:textFill>
        </w:rPr>
        <w:t>2.1 编制目的</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_Toc80973302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"_Toc80973303" </w:instrText>
      </w:r>
      <w:r>
        <w:fldChar w:fldCharType="separate"/>
      </w:r>
      <w:r>
        <w:rPr>
          <w:rStyle w:val="26"/>
          <w:color w:val="000000" w:themeColor="text1"/>
          <w14:textFill>
            <w14:solidFill>
              <w14:schemeClr w14:val="tx1"/>
            </w14:solidFill>
          </w14:textFill>
        </w:rPr>
        <w:t>2.2 编制原则</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_Toc80973303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"_Toc80973304" </w:instrText>
      </w:r>
      <w:r>
        <w:fldChar w:fldCharType="separate"/>
      </w:r>
      <w:r>
        <w:rPr>
          <w:rStyle w:val="26"/>
          <w:color w:val="000000" w:themeColor="text1"/>
          <w14:textFill>
            <w14:solidFill>
              <w14:schemeClr w14:val="tx1"/>
            </w14:solidFill>
          </w14:textFill>
        </w:rPr>
        <w:t>2.3 编制依据</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_Toc80973304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8"/>
        <w:tabs>
          <w:tab w:val="right" w:leader="hyphen" w:pos="8296"/>
        </w:tabs>
        <w:ind w:firstLine="560"/>
        <w:rPr>
          <w:b/>
          <w:bCs/>
          <w:color w:val="000000" w:themeColor="text1"/>
          <w:sz w:val="21"/>
          <w:szCs w:val="22"/>
          <w14:textFill>
            <w14:solidFill>
              <w14:schemeClr w14:val="tx1"/>
            </w14:solidFill>
          </w14:textFill>
        </w:rPr>
      </w:pPr>
      <w:r>
        <w:fldChar w:fldCharType="begin"/>
      </w:r>
      <w:r>
        <w:instrText xml:space="preserve"> HYPERLINK \l "_Toc80973305" </w:instrText>
      </w:r>
      <w:r>
        <w:fldChar w:fldCharType="separate"/>
      </w:r>
      <w:r>
        <w:rPr>
          <w:rStyle w:val="26"/>
          <w:b/>
          <w:bCs/>
          <w:color w:val="000000" w:themeColor="text1"/>
          <w14:textFill>
            <w14:solidFill>
              <w14:schemeClr w14:val="tx1"/>
            </w14:solidFill>
          </w14:textFill>
        </w:rPr>
        <w:t>3 资料准备与环境风险识别</w:t>
      </w:r>
      <w:r>
        <w:rPr>
          <w:b/>
          <w:bCs/>
          <w:color w:val="000000" w:themeColor="text1"/>
          <w14:textFill>
            <w14:solidFill>
              <w14:schemeClr w14:val="tx1"/>
            </w14:solidFill>
          </w14:textFill>
        </w:rPr>
        <w:tab/>
      </w:r>
      <w:r>
        <w:rPr>
          <w:b/>
          <w:bCs/>
          <w:color w:val="000000" w:themeColor="text1"/>
          <w14:textFill>
            <w14:solidFill>
              <w14:schemeClr w14:val="tx1"/>
            </w14:solidFill>
          </w14:textFill>
        </w:rPr>
        <w:fldChar w:fldCharType="begin"/>
      </w:r>
      <w:r>
        <w:rPr>
          <w:b/>
          <w:bCs/>
          <w:color w:val="000000" w:themeColor="text1"/>
          <w14:textFill>
            <w14:solidFill>
              <w14:schemeClr w14:val="tx1"/>
            </w14:solidFill>
          </w14:textFill>
        </w:rPr>
        <w:instrText xml:space="preserve"> PAGEREF _Toc80973305 \h </w:instrText>
      </w:r>
      <w:r>
        <w:rPr>
          <w:b/>
          <w:bCs/>
          <w:color w:val="000000" w:themeColor="text1"/>
          <w14:textFill>
            <w14:solidFill>
              <w14:schemeClr w14:val="tx1"/>
            </w14:solidFill>
          </w14:textFill>
        </w:rPr>
        <w:fldChar w:fldCharType="separate"/>
      </w:r>
      <w:r>
        <w:rPr>
          <w:b/>
          <w:bCs/>
          <w:color w:val="000000" w:themeColor="text1"/>
          <w14:textFill>
            <w14:solidFill>
              <w14:schemeClr w14:val="tx1"/>
            </w14:solidFill>
          </w14:textFill>
        </w:rPr>
        <w:t>3</w:t>
      </w:r>
      <w:r>
        <w:rPr>
          <w:b/>
          <w:bCs/>
          <w:color w:val="000000" w:themeColor="text1"/>
          <w14:textFill>
            <w14:solidFill>
              <w14:schemeClr w14:val="tx1"/>
            </w14:solidFill>
          </w14:textFill>
        </w:rPr>
        <w:fldChar w:fldCharType="end"/>
      </w:r>
      <w:r>
        <w:rPr>
          <w:b/>
          <w:bCs/>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"_Toc80973306" </w:instrText>
      </w:r>
      <w:r>
        <w:fldChar w:fldCharType="separate"/>
      </w:r>
      <w:r>
        <w:rPr>
          <w:rStyle w:val="26"/>
          <w:color w:val="000000" w:themeColor="text1"/>
          <w14:textFill>
            <w14:solidFill>
              <w14:schemeClr w14:val="tx1"/>
            </w14:solidFill>
          </w14:textFill>
        </w:rPr>
        <w:t>3.1 基本信息</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_Toc80973306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5</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"_Toc80973307" </w:instrText>
      </w:r>
      <w:r>
        <w:fldChar w:fldCharType="separate"/>
      </w:r>
      <w:r>
        <w:rPr>
          <w:rStyle w:val="26"/>
          <w:color w:val="000000" w:themeColor="text1"/>
          <w14:textFill>
            <w14:solidFill>
              <w14:schemeClr w14:val="tx1"/>
            </w14:solidFill>
          </w14:textFill>
        </w:rPr>
        <w:t>3.2 企业周边环境风险受体</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_Toc80973307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10</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"_Toc80973308" </w:instrText>
      </w:r>
      <w:r>
        <w:fldChar w:fldCharType="separate"/>
      </w:r>
      <w:r>
        <w:rPr>
          <w:rStyle w:val="26"/>
          <w:color w:val="000000" w:themeColor="text1"/>
          <w14:textFill>
            <w14:solidFill>
              <w14:schemeClr w14:val="tx1"/>
            </w14:solidFill>
          </w14:textFill>
        </w:rPr>
        <w:t>3.3 涉及环境风险物质情况</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_Toc80973308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12</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"_Toc80973309" </w:instrText>
      </w:r>
      <w:r>
        <w:fldChar w:fldCharType="separate"/>
      </w:r>
      <w:r>
        <w:rPr>
          <w:rStyle w:val="26"/>
          <w:color w:val="000000" w:themeColor="text1"/>
          <w14:textFill>
            <w14:solidFill>
              <w14:schemeClr w14:val="tx1"/>
            </w14:solidFill>
          </w14:textFill>
        </w:rPr>
        <w:t>3.4 现有环境风险防控与应急措施情况</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_Toc80973309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14</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"_Toc80973310" </w:instrText>
      </w:r>
      <w:r>
        <w:fldChar w:fldCharType="separate"/>
      </w:r>
      <w:r>
        <w:rPr>
          <w:rStyle w:val="26"/>
          <w:color w:val="000000" w:themeColor="text1"/>
          <w14:textFill>
            <w14:solidFill>
              <w14:schemeClr w14:val="tx1"/>
            </w14:solidFill>
          </w14:textFill>
        </w:rPr>
        <w:t>3.5 现有应急物资与装备、救援队伍情况</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_Toc80973310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16</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8"/>
        <w:tabs>
          <w:tab w:val="right" w:leader="hyphen" w:pos="8296"/>
        </w:tabs>
        <w:ind w:firstLine="560"/>
        <w:rPr>
          <w:b/>
          <w:bCs/>
          <w:color w:val="000000" w:themeColor="text1"/>
          <w:sz w:val="21"/>
          <w:szCs w:val="22"/>
          <w14:textFill>
            <w14:solidFill>
              <w14:schemeClr w14:val="tx1"/>
            </w14:solidFill>
          </w14:textFill>
        </w:rPr>
      </w:pPr>
      <w:r>
        <w:fldChar w:fldCharType="begin"/>
      </w:r>
      <w:r>
        <w:instrText xml:space="preserve"> HYPERLINK \l "_Toc80973311" </w:instrText>
      </w:r>
      <w:r>
        <w:fldChar w:fldCharType="separate"/>
      </w:r>
      <w:r>
        <w:rPr>
          <w:rStyle w:val="26"/>
          <w:b/>
          <w:bCs/>
          <w:color w:val="000000" w:themeColor="text1"/>
          <w14:textFill>
            <w14:solidFill>
              <w14:schemeClr w14:val="tx1"/>
            </w14:solidFill>
          </w14:textFill>
        </w:rPr>
        <w:t>4 突发环境事件及其后果分析</w:t>
      </w:r>
      <w:r>
        <w:rPr>
          <w:b/>
          <w:bCs/>
          <w:color w:val="000000" w:themeColor="text1"/>
          <w14:textFill>
            <w14:solidFill>
              <w14:schemeClr w14:val="tx1"/>
            </w14:solidFill>
          </w14:textFill>
        </w:rPr>
        <w:tab/>
      </w:r>
      <w:r>
        <w:rPr>
          <w:b/>
          <w:bCs/>
          <w:color w:val="000000" w:themeColor="text1"/>
          <w14:textFill>
            <w14:solidFill>
              <w14:schemeClr w14:val="tx1"/>
            </w14:solidFill>
          </w14:textFill>
        </w:rPr>
        <w:fldChar w:fldCharType="begin"/>
      </w:r>
      <w:r>
        <w:rPr>
          <w:b/>
          <w:bCs/>
          <w:color w:val="000000" w:themeColor="text1"/>
          <w14:textFill>
            <w14:solidFill>
              <w14:schemeClr w14:val="tx1"/>
            </w14:solidFill>
          </w14:textFill>
        </w:rPr>
        <w:instrText xml:space="preserve"> PAGEREF _Toc80973311 \h </w:instrText>
      </w:r>
      <w:r>
        <w:rPr>
          <w:b/>
          <w:bCs/>
          <w:color w:val="000000" w:themeColor="text1"/>
          <w14:textFill>
            <w14:solidFill>
              <w14:schemeClr w14:val="tx1"/>
            </w14:solidFill>
          </w14:textFill>
        </w:rPr>
        <w:fldChar w:fldCharType="separate"/>
      </w:r>
      <w:r>
        <w:rPr>
          <w:b/>
          <w:bCs/>
          <w:color w:val="000000" w:themeColor="text1"/>
          <w14:textFill>
            <w14:solidFill>
              <w14:schemeClr w14:val="tx1"/>
            </w14:solidFill>
          </w14:textFill>
        </w:rPr>
        <w:t>25</w:t>
      </w:r>
      <w:r>
        <w:rPr>
          <w:b/>
          <w:bCs/>
          <w:color w:val="000000" w:themeColor="text1"/>
          <w14:textFill>
            <w14:solidFill>
              <w14:schemeClr w14:val="tx1"/>
            </w14:solidFill>
          </w14:textFill>
        </w:rPr>
        <w:fldChar w:fldCharType="end"/>
      </w:r>
      <w:r>
        <w:rPr>
          <w:b/>
          <w:bCs/>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"_Toc80973312" </w:instrText>
      </w:r>
      <w:r>
        <w:fldChar w:fldCharType="separate"/>
      </w:r>
      <w:r>
        <w:rPr>
          <w:rStyle w:val="26"/>
          <w:color w:val="000000" w:themeColor="text1"/>
          <w14:textFill>
            <w14:solidFill>
              <w14:schemeClr w14:val="tx1"/>
            </w14:solidFill>
          </w14:textFill>
        </w:rPr>
        <w:t>4.1 企业突发环境事件情景分析</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_Toc80973312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25</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"_Toc80973313" </w:instrText>
      </w:r>
      <w:r>
        <w:fldChar w:fldCharType="separate"/>
      </w:r>
      <w:r>
        <w:rPr>
          <w:rStyle w:val="26"/>
          <w:color w:val="000000" w:themeColor="text1"/>
          <w14:textFill>
            <w14:solidFill>
              <w14:schemeClr w14:val="tx1"/>
            </w14:solidFill>
          </w14:textFill>
        </w:rPr>
        <w:t>4.2 突发环境事件情景源强分析</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_Toc80973313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29</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"_Toc80973314" </w:instrText>
      </w:r>
      <w:r>
        <w:fldChar w:fldCharType="separate"/>
      </w:r>
      <w:r>
        <w:rPr>
          <w:rStyle w:val="26"/>
          <w:color w:val="000000" w:themeColor="text1"/>
          <w14:textFill>
            <w14:solidFill>
              <w14:schemeClr w14:val="tx1"/>
            </w14:solidFill>
          </w14:textFill>
        </w:rPr>
        <w:t>4.3 涉及环境风险防控与应急措施、应急资源情况分析</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_Toc80973314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33</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"_Toc80973315" </w:instrText>
      </w:r>
      <w:r>
        <w:fldChar w:fldCharType="separate"/>
      </w:r>
      <w:r>
        <w:rPr>
          <w:rStyle w:val="26"/>
          <w:color w:val="000000" w:themeColor="text1"/>
          <w14:textFill>
            <w14:solidFill>
              <w14:schemeClr w14:val="tx1"/>
            </w14:solidFill>
          </w14:textFill>
        </w:rPr>
        <w:t>4.4 突发环境事件危害后果分析</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_Toc80973315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34</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8"/>
        <w:tabs>
          <w:tab w:val="right" w:leader="hyphen" w:pos="8296"/>
        </w:tabs>
        <w:ind w:firstLine="560"/>
        <w:rPr>
          <w:b/>
          <w:bCs/>
          <w:color w:val="000000" w:themeColor="text1"/>
          <w:sz w:val="21"/>
          <w:szCs w:val="22"/>
          <w14:textFill>
            <w14:solidFill>
              <w14:schemeClr w14:val="tx1"/>
            </w14:solidFill>
          </w14:textFill>
        </w:rPr>
      </w:pPr>
      <w:r>
        <w:fldChar w:fldCharType="begin"/>
      </w:r>
      <w:r>
        <w:instrText xml:space="preserve"> HYPERLINK \l "_Toc80973316" </w:instrText>
      </w:r>
      <w:r>
        <w:fldChar w:fldCharType="separate"/>
      </w:r>
      <w:r>
        <w:rPr>
          <w:rStyle w:val="26"/>
          <w:b/>
          <w:bCs/>
          <w:color w:val="000000" w:themeColor="text1"/>
          <w14:textFill>
            <w14:solidFill>
              <w14:schemeClr w14:val="tx1"/>
            </w14:solidFill>
          </w14:textFill>
        </w:rPr>
        <w:t>5 现有环境风险防控和应急措施差距分析</w:t>
      </w:r>
      <w:r>
        <w:rPr>
          <w:b/>
          <w:bCs/>
          <w:color w:val="000000" w:themeColor="text1"/>
          <w14:textFill>
            <w14:solidFill>
              <w14:schemeClr w14:val="tx1"/>
            </w14:solidFill>
          </w14:textFill>
        </w:rPr>
        <w:tab/>
      </w:r>
      <w:r>
        <w:rPr>
          <w:b/>
          <w:bCs/>
          <w:color w:val="000000" w:themeColor="text1"/>
          <w14:textFill>
            <w14:solidFill>
              <w14:schemeClr w14:val="tx1"/>
            </w14:solidFill>
          </w14:textFill>
        </w:rPr>
        <w:fldChar w:fldCharType="begin"/>
      </w:r>
      <w:r>
        <w:rPr>
          <w:b/>
          <w:bCs/>
          <w:color w:val="000000" w:themeColor="text1"/>
          <w14:textFill>
            <w14:solidFill>
              <w14:schemeClr w14:val="tx1"/>
            </w14:solidFill>
          </w14:textFill>
        </w:rPr>
        <w:instrText xml:space="preserve"> PAGEREF _Toc80973316 \h </w:instrText>
      </w:r>
      <w:r>
        <w:rPr>
          <w:b/>
          <w:bCs/>
          <w:color w:val="000000" w:themeColor="text1"/>
          <w14:textFill>
            <w14:solidFill>
              <w14:schemeClr w14:val="tx1"/>
            </w14:solidFill>
          </w14:textFill>
        </w:rPr>
        <w:fldChar w:fldCharType="separate"/>
      </w:r>
      <w:r>
        <w:rPr>
          <w:b/>
          <w:bCs/>
          <w:color w:val="000000" w:themeColor="text1"/>
          <w14:textFill>
            <w14:solidFill>
              <w14:schemeClr w14:val="tx1"/>
            </w14:solidFill>
          </w14:textFill>
        </w:rPr>
        <w:t>35</w:t>
      </w:r>
      <w:r>
        <w:rPr>
          <w:b/>
          <w:bCs/>
          <w:color w:val="000000" w:themeColor="text1"/>
          <w14:textFill>
            <w14:solidFill>
              <w14:schemeClr w14:val="tx1"/>
            </w14:solidFill>
          </w14:textFill>
        </w:rPr>
        <w:fldChar w:fldCharType="end"/>
      </w:r>
      <w:r>
        <w:rPr>
          <w:b/>
          <w:bCs/>
          <w:color w:val="000000" w:themeColor="text1"/>
          <w14:textFill>
            <w14:solidFill>
              <w14:schemeClr w14:val="tx1"/>
            </w14:solidFill>
          </w14:textFill>
        </w:rPr>
        <w:fldChar w:fldCharType="end"/>
      </w:r>
    </w:p>
    <w:p>
      <w:pPr>
        <w:pStyle w:val="18"/>
        <w:tabs>
          <w:tab w:val="right" w:leader="hyphen" w:pos="8296"/>
        </w:tabs>
        <w:ind w:firstLine="560"/>
        <w:rPr>
          <w:b/>
          <w:bCs/>
          <w:color w:val="000000" w:themeColor="text1"/>
          <w:sz w:val="21"/>
          <w:szCs w:val="22"/>
          <w14:textFill>
            <w14:solidFill>
              <w14:schemeClr w14:val="tx1"/>
            </w14:solidFill>
          </w14:textFill>
        </w:rPr>
      </w:pPr>
      <w:r>
        <w:fldChar w:fldCharType="begin"/>
      </w:r>
      <w:r>
        <w:instrText xml:space="preserve"> HYPERLINK \l "_Toc80973317" </w:instrText>
      </w:r>
      <w:r>
        <w:fldChar w:fldCharType="separate"/>
      </w:r>
      <w:r>
        <w:rPr>
          <w:rStyle w:val="26"/>
          <w:b/>
          <w:bCs/>
          <w:color w:val="000000" w:themeColor="text1"/>
          <w14:textFill>
            <w14:solidFill>
              <w14:schemeClr w14:val="tx1"/>
            </w14:solidFill>
          </w14:textFill>
        </w:rPr>
        <w:t>6 完善环境风险防控和应急措施的实施计划</w:t>
      </w:r>
      <w:r>
        <w:rPr>
          <w:b/>
          <w:bCs/>
          <w:color w:val="000000" w:themeColor="text1"/>
          <w14:textFill>
            <w14:solidFill>
              <w14:schemeClr w14:val="tx1"/>
            </w14:solidFill>
          </w14:textFill>
        </w:rPr>
        <w:tab/>
      </w:r>
      <w:r>
        <w:rPr>
          <w:b/>
          <w:bCs/>
          <w:color w:val="000000" w:themeColor="text1"/>
          <w14:textFill>
            <w14:solidFill>
              <w14:schemeClr w14:val="tx1"/>
            </w14:solidFill>
          </w14:textFill>
        </w:rPr>
        <w:fldChar w:fldCharType="begin"/>
      </w:r>
      <w:r>
        <w:rPr>
          <w:b/>
          <w:bCs/>
          <w:color w:val="000000" w:themeColor="text1"/>
          <w14:textFill>
            <w14:solidFill>
              <w14:schemeClr w14:val="tx1"/>
            </w14:solidFill>
          </w14:textFill>
        </w:rPr>
        <w:instrText xml:space="preserve"> PAGEREF _Toc80973317 \h </w:instrText>
      </w:r>
      <w:r>
        <w:rPr>
          <w:b/>
          <w:bCs/>
          <w:color w:val="000000" w:themeColor="text1"/>
          <w14:textFill>
            <w14:solidFill>
              <w14:schemeClr w14:val="tx1"/>
            </w14:solidFill>
          </w14:textFill>
        </w:rPr>
        <w:fldChar w:fldCharType="separate"/>
      </w:r>
      <w:r>
        <w:rPr>
          <w:b/>
          <w:bCs/>
          <w:color w:val="000000" w:themeColor="text1"/>
          <w14:textFill>
            <w14:solidFill>
              <w14:schemeClr w14:val="tx1"/>
            </w14:solidFill>
          </w14:textFill>
        </w:rPr>
        <w:t>37</w:t>
      </w:r>
      <w:r>
        <w:rPr>
          <w:b/>
          <w:bCs/>
          <w:color w:val="000000" w:themeColor="text1"/>
          <w14:textFill>
            <w14:solidFill>
              <w14:schemeClr w14:val="tx1"/>
            </w14:solidFill>
          </w14:textFill>
        </w:rPr>
        <w:fldChar w:fldCharType="end"/>
      </w:r>
      <w:r>
        <w:rPr>
          <w:b/>
          <w:bCs/>
          <w:color w:val="000000" w:themeColor="text1"/>
          <w14:textFill>
            <w14:solidFill>
              <w14:schemeClr w14:val="tx1"/>
            </w14:solidFill>
          </w14:textFill>
        </w:rPr>
        <w:fldChar w:fldCharType="end"/>
      </w:r>
    </w:p>
    <w:p>
      <w:pPr>
        <w:pStyle w:val="18"/>
        <w:tabs>
          <w:tab w:val="right" w:leader="hyphen" w:pos="8296"/>
        </w:tabs>
        <w:ind w:firstLine="560"/>
        <w:rPr>
          <w:b/>
          <w:bCs/>
          <w:color w:val="000000" w:themeColor="text1"/>
          <w:sz w:val="21"/>
          <w:szCs w:val="22"/>
          <w14:textFill>
            <w14:solidFill>
              <w14:schemeClr w14:val="tx1"/>
            </w14:solidFill>
          </w14:textFill>
        </w:rPr>
      </w:pPr>
      <w:r>
        <w:fldChar w:fldCharType="begin"/>
      </w:r>
      <w:r>
        <w:instrText xml:space="preserve"> HYPERLINK \l "_Toc80973318" </w:instrText>
      </w:r>
      <w:r>
        <w:fldChar w:fldCharType="separate"/>
      </w:r>
      <w:r>
        <w:rPr>
          <w:rStyle w:val="26"/>
          <w:b/>
          <w:bCs/>
          <w:color w:val="000000" w:themeColor="text1"/>
          <w14:textFill>
            <w14:solidFill>
              <w14:schemeClr w14:val="tx1"/>
            </w14:solidFill>
          </w14:textFill>
        </w:rPr>
        <w:t>7 企业突发环境事件风险等级</w:t>
      </w:r>
      <w:r>
        <w:rPr>
          <w:b/>
          <w:bCs/>
          <w:color w:val="000000" w:themeColor="text1"/>
          <w14:textFill>
            <w14:solidFill>
              <w14:schemeClr w14:val="tx1"/>
            </w14:solidFill>
          </w14:textFill>
        </w:rPr>
        <w:tab/>
      </w:r>
      <w:r>
        <w:rPr>
          <w:b/>
          <w:bCs/>
          <w:color w:val="000000" w:themeColor="text1"/>
          <w14:textFill>
            <w14:solidFill>
              <w14:schemeClr w14:val="tx1"/>
            </w14:solidFill>
          </w14:textFill>
        </w:rPr>
        <w:fldChar w:fldCharType="begin"/>
      </w:r>
      <w:r>
        <w:rPr>
          <w:b/>
          <w:bCs/>
          <w:color w:val="000000" w:themeColor="text1"/>
          <w14:textFill>
            <w14:solidFill>
              <w14:schemeClr w14:val="tx1"/>
            </w14:solidFill>
          </w14:textFill>
        </w:rPr>
        <w:instrText xml:space="preserve"> PAGEREF _Toc80973318 \h </w:instrText>
      </w:r>
      <w:r>
        <w:rPr>
          <w:b/>
          <w:bCs/>
          <w:color w:val="000000" w:themeColor="text1"/>
          <w14:textFill>
            <w14:solidFill>
              <w14:schemeClr w14:val="tx1"/>
            </w14:solidFill>
          </w14:textFill>
        </w:rPr>
        <w:fldChar w:fldCharType="separate"/>
      </w:r>
      <w:r>
        <w:rPr>
          <w:b/>
          <w:bCs/>
          <w:color w:val="000000" w:themeColor="text1"/>
          <w14:textFill>
            <w14:solidFill>
              <w14:schemeClr w14:val="tx1"/>
            </w14:solidFill>
          </w14:textFill>
        </w:rPr>
        <w:t>39</w:t>
      </w:r>
      <w:r>
        <w:rPr>
          <w:b/>
          <w:bCs/>
          <w:color w:val="000000" w:themeColor="text1"/>
          <w14:textFill>
            <w14:solidFill>
              <w14:schemeClr w14:val="tx1"/>
            </w14:solidFill>
          </w14:textFill>
        </w:rPr>
        <w:fldChar w:fldCharType="end"/>
      </w:r>
      <w:r>
        <w:rPr>
          <w:b/>
          <w:bCs/>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"_Toc80973319" </w:instrText>
      </w:r>
      <w:r>
        <w:fldChar w:fldCharType="separate"/>
      </w:r>
      <w:r>
        <w:rPr>
          <w:rStyle w:val="26"/>
          <w:color w:val="000000" w:themeColor="text1"/>
          <w14:textFill>
            <w14:solidFill>
              <w14:schemeClr w14:val="tx1"/>
            </w14:solidFill>
          </w14:textFill>
        </w:rPr>
        <w:t>7.1 环境风险等级评价流程</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_Toc80973319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39</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"_Toc80973320" </w:instrText>
      </w:r>
      <w:r>
        <w:fldChar w:fldCharType="separate"/>
      </w:r>
      <w:r>
        <w:rPr>
          <w:rStyle w:val="26"/>
          <w:color w:val="000000" w:themeColor="text1"/>
          <w14:textFill>
            <w14:solidFill>
              <w14:schemeClr w14:val="tx1"/>
            </w14:solidFill>
          </w14:textFill>
        </w:rPr>
        <w:t>7.2 突发大气环境事件风险分级</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_Toc80973320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39</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9"/>
        <w:tabs>
          <w:tab w:val="right" w:leader="hyphen" w:pos="8296"/>
        </w:tabs>
        <w:ind w:left="560" w:firstLine="560"/>
        <w:rPr>
          <w:color w:val="000000" w:themeColor="text1"/>
          <w:sz w:val="21"/>
          <w:szCs w:val="22"/>
          <w14:textFill>
            <w14:solidFill>
              <w14:schemeClr w14:val="tx1"/>
            </w14:solidFill>
          </w14:textFill>
        </w:rPr>
      </w:pPr>
      <w:r>
        <w:fldChar w:fldCharType="begin"/>
      </w:r>
      <w:r>
        <w:instrText xml:space="preserve"> HYPERLINK \l "_Toc80973321" </w:instrText>
      </w:r>
      <w:r>
        <w:fldChar w:fldCharType="separate"/>
      </w:r>
      <w:r>
        <w:rPr>
          <w:rStyle w:val="26"/>
          <w:color w:val="000000" w:themeColor="text1"/>
          <w14:textFill>
            <w14:solidFill>
              <w14:schemeClr w14:val="tx1"/>
            </w14:solidFill>
          </w14:textFill>
        </w:rPr>
        <w:t>7.3 突发水环境事件风险分级</w:t>
      </w:r>
      <w:r>
        <w:rPr>
          <w:color w:val="000000" w:themeColor="text1"/>
          <w14:textFill>
            <w14:solidFill>
              <w14:schemeClr w14:val="tx1"/>
            </w14:solidFill>
          </w14:textFill>
        </w:rPr>
        <w:tab/>
      </w:r>
      <w:r>
        <w:rPr>
          <w:color w:val="000000" w:themeColor="text1"/>
          <w14:textFill>
            <w14:solidFill>
              <w14:schemeClr w14:val="tx1"/>
            </w14:solidFill>
          </w14:textFill>
        </w:rPr>
        <w:fldChar w:fldCharType="begin"/>
      </w:r>
      <w:r>
        <w:rPr>
          <w:color w:val="000000" w:themeColor="text1"/>
          <w14:textFill>
            <w14:solidFill>
              <w14:schemeClr w14:val="tx1"/>
            </w14:solidFill>
          </w14:textFill>
        </w:rPr>
        <w:instrText xml:space="preserve"> PAGEREF _Toc80973321 \h </w:instrText>
      </w:r>
      <w:r>
        <w:rPr>
          <w:color w:val="000000" w:themeColor="text1"/>
          <w14:textFill>
            <w14:solidFill>
              <w14:schemeClr w14:val="tx1"/>
            </w14:solidFill>
          </w14:textFill>
        </w:rPr>
        <w:fldChar w:fldCharType="separate"/>
      </w:r>
      <w:r>
        <w:rPr>
          <w:color w:val="000000" w:themeColor="text1"/>
          <w14:textFill>
            <w14:solidFill>
              <w14:schemeClr w14:val="tx1"/>
            </w14:solidFill>
          </w14:textFill>
        </w:rPr>
        <w:t>42</w:t>
      </w:r>
      <w:r>
        <w:rPr>
          <w:color w:val="000000" w:themeColor="text1"/>
          <w14:textFill>
            <w14:solidFill>
              <w14:schemeClr w14:val="tx1"/>
            </w14:solidFill>
          </w14:textFill>
        </w:rPr>
        <w:fldChar w:fldCharType="end"/>
      </w:r>
      <w:r>
        <w:rPr>
          <w:color w:val="000000" w:themeColor="text1"/>
          <w14:textFill>
            <w14:solidFill>
              <w14:schemeClr w14:val="tx1"/>
            </w14:solidFill>
          </w14:textFill>
        </w:rPr>
        <w:fldChar w:fldCharType="end"/>
      </w:r>
    </w:p>
    <w:p>
      <w:pPr>
        <w:pStyle w:val="19"/>
        <w:tabs>
          <w:tab w:val="right" w:leader="hyphen" w:pos="8296"/>
        </w:tabs>
        <w:ind w:left="560" w:firstLine="560"/>
        <w:rPr>
          <w:rFonts w:hint="eastAsia" w:eastAsia="仿宋"/>
          <w:color w:val="000000" w:themeColor="text1"/>
          <w:sz w:val="21"/>
          <w:szCs w:val="22"/>
          <w:lang w:val="en-US" w:eastAsia="zh-CN"/>
          <w14:textFill>
            <w14:solidFill>
              <w14:schemeClr w14:val="tx1"/>
            </w14:solidFill>
          </w14:textFill>
        </w:rPr>
      </w:pPr>
      <w:r>
        <w:fldChar w:fldCharType="begin"/>
      </w:r>
      <w:r>
        <w:instrText xml:space="preserve"> HYPERLINK \l "_Toc80973322" </w:instrText>
      </w:r>
      <w:r>
        <w:fldChar w:fldCharType="separate"/>
      </w:r>
      <w:r>
        <w:rPr>
          <w:rStyle w:val="26"/>
          <w:color w:val="000000" w:themeColor="text1"/>
          <w14:textFill>
            <w14:solidFill>
              <w14:schemeClr w14:val="tx1"/>
            </w14:solidFill>
          </w14:textFill>
        </w:rPr>
        <w:t>7.4 风险等级确定</w:t>
      </w:r>
      <w:r>
        <w:rPr>
          <w:color w:val="000000" w:themeColor="text1"/>
          <w14:textFill>
            <w14:solidFill>
              <w14:schemeClr w14:val="tx1"/>
            </w14:solidFill>
          </w14:textFill>
        </w:rPr>
        <w:tab/>
      </w:r>
      <w:r>
        <w:rPr>
          <w:rFonts w:hint="eastAsia"/>
          <w:color w:val="000000" w:themeColor="text1"/>
          <w:lang w:val="en-US" w:eastAsia="zh-CN"/>
          <w14:textFill>
            <w14:solidFill>
              <w14:schemeClr w14:val="tx1"/>
            </w14:solidFill>
          </w14:textFill>
        </w:rPr>
        <w:t>4</w:t>
      </w:r>
      <w:r>
        <w:rPr>
          <w:color w:val="000000" w:themeColor="text1"/>
          <w14:textFill>
            <w14:solidFill>
              <w14:schemeClr w14:val="tx1"/>
            </w14:solidFill>
          </w14:textFill>
        </w:rPr>
        <w:fldChar w:fldCharType="end"/>
      </w:r>
      <w:r>
        <w:rPr>
          <w:rFonts w:hint="eastAsia"/>
          <w:color w:val="000000" w:themeColor="text1"/>
          <w:lang w:val="en-US" w:eastAsia="zh-CN"/>
          <w14:textFill>
            <w14:solidFill>
              <w14:schemeClr w14:val="tx1"/>
            </w14:solidFill>
          </w14:textFill>
        </w:rPr>
        <w:t>8</w:t>
      </w:r>
    </w:p>
    <w:p>
      <w:pPr>
        <w:spacing w:line="240" w:lineRule="auto"/>
        <w:ind w:firstLine="0" w:firstLineChars="0"/>
        <w:rPr>
          <w:color w:val="000000" w:themeColor="text1"/>
          <w:sz w:val="24"/>
          <w:szCs w:val="24"/>
          <w14:textFill>
            <w14:solidFill>
              <w14:schemeClr w14:val="tx1"/>
            </w14:solidFill>
          </w14:textFill>
        </w:rPr>
        <w:sectPr>
          <w:pgSz w:w="11906" w:h="16838"/>
          <w:pgMar w:top="1440" w:right="1800" w:bottom="1440" w:left="1800" w:header="720" w:footer="720" w:gutter="0"/>
          <w:pgNumType w:start="1"/>
          <w:cols w:space="720" w:num="1"/>
          <w:docGrid w:type="lines" w:linePitch="286" w:charSpace="0"/>
        </w:sectPr>
      </w:pPr>
    </w:p>
    <w:p>
      <w:pPr>
        <w:spacing w:line="240" w:lineRule="auto"/>
        <w:ind w:firstLine="0" w:firstLineChars="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fldChar w:fldCharType="end"/>
      </w:r>
    </w:p>
    <w:p>
      <w:pPr>
        <w:pStyle w:val="9"/>
        <w:rPr>
          <w:color w:val="000000" w:themeColor="text1"/>
          <w14:textFill>
            <w14:solidFill>
              <w14:schemeClr w14:val="tx1"/>
            </w14:solidFill>
          </w14:textFill>
        </w:rPr>
      </w:pPr>
      <w:bookmarkStart w:id="10" w:name="_Toc80973300"/>
      <w:bookmarkStart w:id="11" w:name="_Toc69739719"/>
      <w:r>
        <w:rPr>
          <w:color w:val="000000" w:themeColor="text1"/>
          <w14:textFill>
            <w14:solidFill>
              <w14:schemeClr w14:val="tx1"/>
            </w14:solidFill>
          </w14:textFill>
        </w:rPr>
        <w:t>1 前言</w:t>
      </w:r>
      <w:bookmarkEnd w:id="10"/>
      <w:bookmarkEnd w:id="11"/>
    </w:p>
    <w:p>
      <w:pPr>
        <w:ind w:firstLine="560"/>
        <w:rPr>
          <w:color w:val="000000" w:themeColor="text1"/>
          <w14:textFill>
            <w14:solidFill>
              <w14:schemeClr w14:val="tx1"/>
            </w14:solidFill>
          </w14:textFill>
        </w:rPr>
      </w:pPr>
      <w:bookmarkStart w:id="12" w:name="_Toc422830008"/>
      <w:bookmarkEnd w:id="12"/>
      <w:bookmarkStart w:id="13" w:name="_Toc444845453"/>
      <w:bookmarkEnd w:id="13"/>
      <w:bookmarkStart w:id="14" w:name="_Toc421215624"/>
      <w:bookmarkEnd w:id="14"/>
      <w:r>
        <w:rPr>
          <w:color w:val="000000" w:themeColor="text1"/>
          <w14:textFill>
            <w14:solidFill>
              <w14:schemeClr w14:val="tx1"/>
            </w14:solidFill>
          </w14:textFill>
        </w:rPr>
        <w:t>根据环保部印发的《企业事业单位突发环境事件应急预案备案管理办法（试行）》（环发〔2015〕4号）及省市环保部门的有关通知要求，凡存在环境风险的企事业单位必须进行风险评估、编制突发环境事件应急预案，并在环保部门备案。为此，</w:t>
      </w:r>
      <w:r>
        <w:rPr>
          <w:rFonts w:hint="eastAsia"/>
          <w:color w:val="000000" w:themeColor="text1"/>
          <w:highlight w:val="none"/>
          <w:lang w:eastAsia="zh-CN"/>
          <w14:textFill>
            <w14:solidFill>
              <w14:schemeClr w14:val="tx1"/>
            </w14:solidFill>
          </w14:textFill>
        </w:rPr>
        <w:t>陕西交控集团公司绕城高速公路扩能工程管理处</w:t>
      </w:r>
      <w:r>
        <w:rPr>
          <w:color w:val="000000" w:themeColor="text1"/>
          <w14:textFill>
            <w14:solidFill>
              <w14:schemeClr w14:val="tx1"/>
            </w14:solidFill>
          </w14:textFill>
        </w:rPr>
        <w:t>对</w:t>
      </w:r>
      <w:r>
        <w:rPr>
          <w:rFonts w:hint="eastAsia"/>
          <w:color w:val="000000" w:themeColor="text1"/>
          <w14:textFill>
            <w14:solidFill>
              <w14:schemeClr w14:val="tx1"/>
            </w14:solidFill>
          </w14:textFill>
        </w:rPr>
        <w:t>西安绕城高速公路通行能力提升工程</w:t>
      </w:r>
      <w:r>
        <w:rPr>
          <w:rFonts w:hint="eastAsia"/>
          <w:color w:val="000000" w:themeColor="text1"/>
          <w:lang w:eastAsia="zh-CN"/>
          <w14:textFill>
            <w14:solidFill>
              <w14:schemeClr w14:val="tx1"/>
            </w14:solidFill>
          </w14:textFill>
        </w:rPr>
        <w:t>、西安绕城高速公路西咸互通式立交工程和</w:t>
      </w:r>
      <w:r>
        <w:rPr>
          <w:rFonts w:hint="eastAsia"/>
        </w:rPr>
        <w:t>西咸国际机场专用高速公路秦汉立交</w:t>
      </w:r>
      <w:r>
        <w:rPr>
          <w:color w:val="000000" w:themeColor="text1"/>
          <w14:textFill>
            <w14:solidFill>
              <w14:schemeClr w14:val="tx1"/>
            </w14:solidFill>
          </w14:textFill>
        </w:rPr>
        <w:t>进行环境风险评估工作，组成了风险评估小组。在进行公路现场踏勘、认真研读项目相关文件技术资料的基础上，编制了《</w:t>
      </w:r>
      <w:r>
        <w:rPr>
          <w:rFonts w:hint="eastAsia"/>
          <w:color w:val="000000" w:themeColor="text1"/>
          <w:lang w:eastAsia="zh-CN"/>
          <w14:textFill>
            <w14:solidFill>
              <w14:schemeClr w14:val="tx1"/>
            </w14:solidFill>
          </w14:textFill>
        </w:rPr>
        <w:t>西安绕城高速公路通行能力提升工程</w:t>
      </w:r>
      <w:r>
        <w:rPr>
          <w:color w:val="000000" w:themeColor="text1"/>
          <w14:textFill>
            <w14:solidFill>
              <w14:schemeClr w14:val="tx1"/>
            </w14:solidFill>
          </w14:textFill>
        </w:rPr>
        <w:t>突发环境事件风险评估报告》。</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企业环境风险评估参考《企业突发环境事件风险分级方法》（HJ941-2018）及《关于印发&lt;企业突发环境事件风险评估指南（试行）&gt;的通知》（环办〔2014〕34号）。按照《企业突发环境事件风险分级方法》（HJ941-2018），企业突发环境事件风险等级划分方法规定，通过定量分析企业生产、加工、使用、存储的所有环境风险物质数量与其临界量的比值（Q），评估工艺过程与环境风险控制水平（M）以及环境风险受体敏感性（E）的评估分析结果，分析评估企业突发大气环境事件风险和突发水环境事件风险，将企业突发大气或水环境事件风险等级划分为一般环境风险、较大环境风险和重大环境风险三级，分别用橙色、黄色和红色标识。同时涉及突发大气和水环境事件风险的企业，以等级高者确定企业突发环境事件风险等级。评估程序见图1。</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本单位将按照有关程序对单位环境风险进行评估，确定环境风险等级，并编制突发环境事件应急预案。</w:t>
      </w:r>
    </w:p>
    <w:p>
      <w:pPr>
        <w:ind w:firstLine="560"/>
        <w:rPr>
          <w:color w:val="000000" w:themeColor="text1"/>
          <w14:textFill>
            <w14:solidFill>
              <w14:schemeClr w14:val="tx1"/>
            </w14:solidFill>
          </w14:textFill>
        </w:rPr>
      </w:pPr>
    </w:p>
    <w:p>
      <w:pPr>
        <w:pStyle w:val="55"/>
        <w:rPr>
          <w:color w:val="000000" w:themeColor="text1"/>
          <w14:textFill>
            <w14:solidFill>
              <w14:schemeClr w14:val="tx1"/>
            </w14:solidFill>
          </w14:textFill>
        </w:rPr>
      </w:pPr>
      <w:r>
        <w:rPr>
          <w:color w:val="000000" w:themeColor="text1"/>
          <w14:textFill>
            <w14:solidFill>
              <w14:schemeClr w14:val="tx1"/>
            </w14:solidFill>
          </w14:textFill>
        </w:rPr>
        <w:t>图1-1  环境风险等级评估程序图</w:t>
      </w:r>
      <w:r>
        <w:rPr>
          <w:color w:val="000000" w:themeColor="text1"/>
          <w14:textFill>
            <w14:solidFill>
              <w14:schemeClr w14:val="tx1"/>
            </w14:solidFill>
          </w14:textFill>
        </w:rPr>
        <w:drawing>
          <wp:anchor distT="0" distB="0" distL="114300" distR="114300" simplePos="0" relativeHeight="251659264" behindDoc="0" locked="0" layoutInCell="1" allowOverlap="1">
            <wp:simplePos x="0" y="0"/>
            <wp:positionH relativeFrom="column">
              <wp:posOffset>303530</wp:posOffset>
            </wp:positionH>
            <wp:positionV relativeFrom="paragraph">
              <wp:posOffset>71120</wp:posOffset>
            </wp:positionV>
            <wp:extent cx="4772025" cy="3676650"/>
            <wp:effectExtent l="0" t="0" r="9525" b="0"/>
            <wp:wrapTopAndBottom/>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772025" cy="3676650"/>
                    </a:xfrm>
                    <a:prstGeom prst="rect">
                      <a:avLst/>
                    </a:prstGeom>
                    <a:noFill/>
                    <a:ln>
                      <a:noFill/>
                    </a:ln>
                  </pic:spPr>
                </pic:pic>
              </a:graphicData>
            </a:graphic>
          </wp:anchor>
        </w:drawing>
      </w:r>
    </w:p>
    <w:p>
      <w:pPr>
        <w:widowControl/>
        <w:ind w:firstLine="562"/>
        <w:jc w:val="left"/>
        <w:rPr>
          <w:b/>
          <w:bCs/>
          <w:color w:val="000000" w:themeColor="text1"/>
          <w:kern w:val="44"/>
          <w:szCs w:val="28"/>
          <w14:textFill>
            <w14:solidFill>
              <w14:schemeClr w14:val="tx1"/>
            </w14:solidFill>
          </w14:textFill>
        </w:rPr>
      </w:pPr>
    </w:p>
    <w:p>
      <w:pPr>
        <w:widowControl/>
        <w:ind w:firstLine="562"/>
        <w:jc w:val="left"/>
        <w:rPr>
          <w:b/>
          <w:bCs/>
          <w:color w:val="000000" w:themeColor="text1"/>
          <w:kern w:val="44"/>
          <w:szCs w:val="28"/>
          <w14:textFill>
            <w14:solidFill>
              <w14:schemeClr w14:val="tx1"/>
            </w14:solidFill>
          </w14:textFill>
        </w:rPr>
        <w:sectPr>
          <w:footerReference r:id="rId16" w:type="default"/>
          <w:pgSz w:w="11906" w:h="16838"/>
          <w:pgMar w:top="1440" w:right="1800" w:bottom="1440" w:left="1800" w:header="720" w:footer="720" w:gutter="0"/>
          <w:pgNumType w:start="1"/>
          <w:cols w:space="720" w:num="1"/>
          <w:docGrid w:type="lines" w:linePitch="286" w:charSpace="0"/>
        </w:sectPr>
      </w:pPr>
    </w:p>
    <w:p>
      <w:pPr>
        <w:pStyle w:val="9"/>
        <w:rPr>
          <w:color w:val="000000" w:themeColor="text1"/>
          <w14:textFill>
            <w14:solidFill>
              <w14:schemeClr w14:val="tx1"/>
            </w14:solidFill>
          </w14:textFill>
        </w:rPr>
      </w:pPr>
      <w:bookmarkStart w:id="15" w:name="_Toc47541593"/>
      <w:bookmarkEnd w:id="15"/>
      <w:bookmarkStart w:id="16" w:name="_Toc69739720"/>
      <w:bookmarkStart w:id="17" w:name="_Toc80973301"/>
      <w:r>
        <w:rPr>
          <w:color w:val="000000" w:themeColor="text1"/>
          <w14:textFill>
            <w14:solidFill>
              <w14:schemeClr w14:val="tx1"/>
            </w14:solidFill>
          </w14:textFill>
        </w:rPr>
        <w:t>2 总则</w:t>
      </w:r>
      <w:bookmarkEnd w:id="16"/>
      <w:bookmarkEnd w:id="17"/>
    </w:p>
    <w:p>
      <w:pPr>
        <w:pStyle w:val="10"/>
        <w:ind w:firstLine="321"/>
        <w:rPr>
          <w:color w:val="000000" w:themeColor="text1"/>
          <w14:textFill>
            <w14:solidFill>
              <w14:schemeClr w14:val="tx1"/>
            </w14:solidFill>
          </w14:textFill>
        </w:rPr>
      </w:pPr>
      <w:bookmarkStart w:id="18" w:name="_Toc422830010"/>
      <w:bookmarkEnd w:id="18"/>
      <w:bookmarkStart w:id="19" w:name="_Toc47541594"/>
      <w:bookmarkEnd w:id="19"/>
      <w:bookmarkStart w:id="20" w:name="_Toc431402266"/>
      <w:bookmarkEnd w:id="20"/>
      <w:bookmarkStart w:id="21" w:name="_Toc421215626"/>
      <w:bookmarkEnd w:id="21"/>
      <w:bookmarkStart w:id="22" w:name="_Toc444845454"/>
      <w:bookmarkStart w:id="23" w:name="_Toc69739721"/>
      <w:bookmarkStart w:id="24" w:name="_Toc80973302"/>
      <w:r>
        <w:rPr>
          <w:color w:val="000000" w:themeColor="text1"/>
          <w14:textFill>
            <w14:solidFill>
              <w14:schemeClr w14:val="tx1"/>
            </w14:solidFill>
          </w14:textFill>
        </w:rPr>
        <w:t>2.1 编制</w:t>
      </w:r>
      <w:bookmarkEnd w:id="22"/>
      <w:r>
        <w:rPr>
          <w:color w:val="000000" w:themeColor="text1"/>
          <w14:textFill>
            <w14:solidFill>
              <w14:schemeClr w14:val="tx1"/>
            </w14:solidFill>
          </w14:textFill>
        </w:rPr>
        <w:t>目的</w:t>
      </w:r>
      <w:bookmarkEnd w:id="23"/>
      <w:bookmarkEnd w:id="24"/>
    </w:p>
    <w:p>
      <w:pPr>
        <w:ind w:firstLine="560"/>
        <w:rPr>
          <w:color w:val="000000" w:themeColor="text1"/>
          <w14:textFill>
            <w14:solidFill>
              <w14:schemeClr w14:val="tx1"/>
            </w14:solidFill>
          </w14:textFill>
        </w:rPr>
      </w:pPr>
      <w:r>
        <w:rPr>
          <w:color w:val="000000" w:themeColor="text1"/>
          <w14:textFill>
            <w14:solidFill>
              <w14:schemeClr w14:val="tx1"/>
            </w14:solidFill>
          </w14:textFill>
        </w:rPr>
        <w:t>（1）通过系统性的调查和分析，识别企业环境风险物质，环境风险装置及设施，确定项目环境风险源，预测典型环境事件的影响和后果，评估项目现有风险防控能力和水平，提出降低环境风险的措施，减少环境风险的发生。</w:t>
      </w:r>
    </w:p>
    <w:p>
      <w:pPr>
        <w:ind w:firstLine="560"/>
        <w:rPr>
          <w:color w:val="000000" w:themeColor="text1"/>
          <w14:textFill>
            <w14:solidFill>
              <w14:schemeClr w14:val="tx1"/>
            </w14:solidFill>
          </w14:textFill>
        </w:rPr>
      </w:pPr>
      <w:bookmarkStart w:id="25" w:name="_Toc421215627"/>
      <w:bookmarkEnd w:id="25"/>
      <w:bookmarkStart w:id="26" w:name="_Toc422830011"/>
      <w:r>
        <w:rPr>
          <w:color w:val="000000" w:themeColor="text1"/>
          <w14:textFill>
            <w14:solidFill>
              <w14:schemeClr w14:val="tx1"/>
            </w14:solidFill>
          </w14:textFill>
        </w:rPr>
        <w:t>（2）作为企业环境风险体系的基础文件，为企业突发环境事件的预防管理提供技术支撑，起到知险、识险、防险的作用，达到有效控制环境事故和减少环境损害的目的。</w:t>
      </w:r>
      <w:bookmarkEnd w:id="26"/>
    </w:p>
    <w:p>
      <w:pPr>
        <w:pStyle w:val="10"/>
        <w:ind w:firstLine="321"/>
        <w:rPr>
          <w:color w:val="000000" w:themeColor="text1"/>
          <w14:textFill>
            <w14:solidFill>
              <w14:schemeClr w14:val="tx1"/>
            </w14:solidFill>
          </w14:textFill>
        </w:rPr>
      </w:pPr>
      <w:bookmarkStart w:id="27" w:name="_Toc431402267"/>
      <w:bookmarkEnd w:id="27"/>
      <w:bookmarkStart w:id="28" w:name="_Toc444845455"/>
      <w:bookmarkEnd w:id="28"/>
      <w:bookmarkStart w:id="29" w:name="_Toc69739722"/>
      <w:bookmarkStart w:id="30" w:name="_Toc47541595"/>
      <w:bookmarkStart w:id="31" w:name="_Toc80973303"/>
      <w:r>
        <w:rPr>
          <w:color w:val="000000" w:themeColor="text1"/>
          <w14:textFill>
            <w14:solidFill>
              <w14:schemeClr w14:val="tx1"/>
            </w14:solidFill>
          </w14:textFill>
        </w:rPr>
        <w:t>2.2 编制原则</w:t>
      </w:r>
      <w:bookmarkEnd w:id="29"/>
      <w:bookmarkEnd w:id="30"/>
      <w:bookmarkEnd w:id="31"/>
    </w:p>
    <w:p>
      <w:pPr>
        <w:ind w:firstLine="560"/>
        <w:rPr>
          <w:color w:val="000000" w:themeColor="text1"/>
          <w14:textFill>
            <w14:solidFill>
              <w14:schemeClr w14:val="tx1"/>
            </w14:solidFill>
          </w14:textFill>
        </w:rPr>
      </w:pPr>
      <w:bookmarkStart w:id="32" w:name="_Toc421215628"/>
      <w:bookmarkEnd w:id="32"/>
      <w:bookmarkStart w:id="33" w:name="_Toc422830012"/>
      <w:r>
        <w:rPr>
          <w:color w:val="000000" w:themeColor="text1"/>
          <w14:textFill>
            <w14:solidFill>
              <w14:schemeClr w14:val="tx1"/>
            </w14:solidFill>
          </w14:textFill>
        </w:rPr>
        <w:t>为规范环境风险评估过程及评估行为，遵循以下原则开展环境风险评估工作：</w:t>
      </w:r>
      <w:bookmarkEnd w:id="33"/>
    </w:p>
    <w:p>
      <w:pPr>
        <w:ind w:firstLine="560"/>
        <w:rPr>
          <w:color w:val="000000" w:themeColor="text1"/>
          <w14:textFill>
            <w14:solidFill>
              <w14:schemeClr w14:val="tx1"/>
            </w14:solidFill>
          </w14:textFill>
        </w:rPr>
      </w:pPr>
      <w:r>
        <w:rPr>
          <w:color w:val="000000" w:themeColor="text1"/>
          <w14:textFill>
            <w14:solidFill>
              <w14:schemeClr w14:val="tx1"/>
            </w14:solidFill>
          </w14:textFill>
        </w:rPr>
        <w:t>（1）按照以人为本、保障人民群众的身体健康和环境安全的原则，进行环境风险评估工作。</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（2）严格按照国家、陕西省颁布的各项环境法律法规、标准、政策的规定和要求进行评估工作，规范评估行为。</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（3）体现科学性、规范性、客观性和完整性的原则，全面分析环境风险的事件类型、影响范围和影响程度，准确评估环境事件风险等级。</w:t>
      </w:r>
    </w:p>
    <w:p>
      <w:pPr>
        <w:pStyle w:val="10"/>
        <w:ind w:firstLine="321"/>
        <w:rPr>
          <w:color w:val="000000" w:themeColor="text1"/>
          <w14:textFill>
            <w14:solidFill>
              <w14:schemeClr w14:val="tx1"/>
            </w14:solidFill>
          </w14:textFill>
        </w:rPr>
      </w:pPr>
      <w:bookmarkStart w:id="34" w:name="_Toc431402269"/>
      <w:bookmarkEnd w:id="34"/>
      <w:bookmarkStart w:id="35" w:name="_Toc444845457"/>
      <w:bookmarkEnd w:id="35"/>
      <w:bookmarkStart w:id="36" w:name="_Toc421215629"/>
      <w:bookmarkEnd w:id="36"/>
      <w:bookmarkStart w:id="37" w:name="_Toc422830013"/>
      <w:bookmarkEnd w:id="37"/>
      <w:bookmarkStart w:id="38" w:name="_Toc47541596"/>
      <w:bookmarkStart w:id="39" w:name="_Toc69739723"/>
      <w:bookmarkStart w:id="40" w:name="_Toc80973304"/>
      <w:r>
        <w:rPr>
          <w:color w:val="000000" w:themeColor="text1"/>
          <w14:textFill>
            <w14:solidFill>
              <w14:schemeClr w14:val="tx1"/>
            </w14:solidFill>
          </w14:textFill>
        </w:rPr>
        <w:t>2.3 编制依据</w:t>
      </w:r>
      <w:bookmarkEnd w:id="38"/>
      <w:bookmarkEnd w:id="39"/>
      <w:bookmarkEnd w:id="40"/>
    </w:p>
    <w:p>
      <w:pPr>
        <w:pStyle w:val="11"/>
        <w:spacing w:before="156"/>
        <w:ind w:firstLine="281"/>
        <w:rPr>
          <w:rFonts w:hint="eastAsia" w:ascii="Times New Roman" w:hAnsi="Times New Roman" w:eastAsia="仿宋" w:cs="Times New Roman"/>
          <w:color w:val="auto"/>
          <w:lang w:eastAsia="zh-CN"/>
        </w:rPr>
      </w:pPr>
      <w:bookmarkStart w:id="41" w:name="_Toc431402270"/>
      <w:bookmarkEnd w:id="41"/>
      <w:bookmarkStart w:id="42" w:name="_Toc47541597"/>
      <w:bookmarkStart w:id="43" w:name="_Toc69739728"/>
      <w:bookmarkStart w:id="44" w:name="_Toc80973305"/>
      <w:r>
        <w:rPr>
          <w:rFonts w:hint="eastAsia" w:eastAsia="仿宋" w:cs="Times New Roman"/>
          <w:color w:val="auto"/>
          <w:lang w:val="en-US" w:eastAsia="zh-CN"/>
        </w:rPr>
        <w:t>2.3</w:t>
      </w:r>
      <w:r>
        <w:rPr>
          <w:rFonts w:hint="default" w:ascii="Times New Roman" w:hAnsi="Times New Roman" w:eastAsia="仿宋" w:cs="Times New Roman"/>
          <w:color w:val="auto"/>
        </w:rPr>
        <w:t>.1 法律法规</w:t>
      </w:r>
      <w:r>
        <w:rPr>
          <w:rFonts w:hint="eastAsia" w:eastAsia="仿宋" w:cs="Times New Roman"/>
          <w:color w:val="auto"/>
          <w:lang w:eastAsia="zh-CN"/>
        </w:rPr>
        <w:t>及政策文件</w:t>
      </w:r>
    </w:p>
    <w:p>
      <w:pPr>
        <w:keepNext w:val="0"/>
        <w:keepLines w:val="0"/>
        <w:pageBreakBefore w:val="0"/>
        <w:widowControl w:val="0"/>
        <w:numPr>
          <w:ilvl w:val="0"/>
          <w:numId w:val="1"/>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bookmarkStart w:id="45" w:name="_Hlk81491884"/>
      <w:r>
        <w:rPr>
          <w:rFonts w:hint="default" w:ascii="Times New Roman" w:hAnsi="Times New Roman" w:eastAsia="仿宋" w:cs="Times New Roman"/>
          <w:color w:val="000000" w:themeColor="text1"/>
          <w:szCs w:val="22"/>
          <w14:textFill>
            <w14:solidFill>
              <w14:schemeClr w14:val="tx1"/>
            </w14:solidFill>
          </w14:textFill>
        </w:rPr>
        <w:t>《中华人民共和国环境保护法》</w:t>
      </w:r>
      <w:r>
        <w:rPr>
          <w:rFonts w:hint="default" w:ascii="Times New Roman" w:hAnsi="Times New Roman" w:eastAsia="仿宋" w:cs="Times New Roman"/>
          <w:color w:val="000000" w:themeColor="text1"/>
          <w:szCs w:val="22"/>
          <w:lang w:eastAsia="zh-CN"/>
          <w14:textFill>
            <w14:solidFill>
              <w14:schemeClr w14:val="tx1"/>
            </w14:solidFill>
          </w14:textFill>
        </w:rPr>
        <w:t>，</w:t>
      </w:r>
      <w:r>
        <w:rPr>
          <w:rFonts w:hint="default" w:ascii="Times New Roman" w:hAnsi="Times New Roman" w:eastAsia="仿宋" w:cs="Times New Roman"/>
          <w:color w:val="000000" w:themeColor="text1"/>
          <w:szCs w:val="22"/>
          <w14:textFill>
            <w14:solidFill>
              <w14:schemeClr w14:val="tx1"/>
            </w14:solidFill>
          </w14:textFill>
        </w:rPr>
        <w:t>2015年1月1日实施；</w:t>
      </w:r>
    </w:p>
    <w:p>
      <w:pPr>
        <w:keepNext w:val="0"/>
        <w:keepLines w:val="0"/>
        <w:pageBreakBefore w:val="0"/>
        <w:widowControl w:val="0"/>
        <w:numPr>
          <w:ilvl w:val="0"/>
          <w:numId w:val="1"/>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《中华人民共和国水污染防治法》，2018年1月1日实施；</w:t>
      </w:r>
    </w:p>
    <w:p>
      <w:pPr>
        <w:keepNext w:val="0"/>
        <w:keepLines w:val="0"/>
        <w:pageBreakBefore w:val="0"/>
        <w:widowControl w:val="0"/>
        <w:numPr>
          <w:ilvl w:val="0"/>
          <w:numId w:val="1"/>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《中华人民共和国大气污染防治法》，2018年10月26日实施；</w:t>
      </w:r>
    </w:p>
    <w:p>
      <w:pPr>
        <w:keepNext w:val="0"/>
        <w:keepLines w:val="0"/>
        <w:pageBreakBefore w:val="0"/>
        <w:widowControl w:val="0"/>
        <w:numPr>
          <w:ilvl w:val="0"/>
          <w:numId w:val="1"/>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《中华人民共和国固体废物污染环境防治法》</w:t>
      </w:r>
      <w:r>
        <w:rPr>
          <w:rFonts w:hint="default" w:ascii="Times New Roman" w:hAnsi="Times New Roman" w:eastAsia="仿宋" w:cs="Times New Roman"/>
          <w:color w:val="000000" w:themeColor="text1"/>
          <w:szCs w:val="22"/>
          <w:lang w:eastAsia="zh-CN"/>
          <w14:textFill>
            <w14:solidFill>
              <w14:schemeClr w14:val="tx1"/>
            </w14:solidFill>
          </w14:textFill>
        </w:rPr>
        <w:t>，</w:t>
      </w:r>
      <w:r>
        <w:rPr>
          <w:rFonts w:hint="default" w:ascii="Times New Roman" w:hAnsi="Times New Roman" w:eastAsia="仿宋" w:cs="Times New Roman"/>
          <w:color w:val="000000" w:themeColor="text1"/>
          <w:szCs w:val="22"/>
          <w14:textFill>
            <w14:solidFill>
              <w14:schemeClr w14:val="tx1"/>
            </w14:solidFill>
          </w14:textFill>
        </w:rPr>
        <w:t>2020年9月1日实施；</w:t>
      </w:r>
    </w:p>
    <w:p>
      <w:pPr>
        <w:keepNext w:val="0"/>
        <w:keepLines w:val="0"/>
        <w:pageBreakBefore w:val="0"/>
        <w:widowControl w:val="0"/>
        <w:numPr>
          <w:ilvl w:val="0"/>
          <w:numId w:val="1"/>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《中华人民共和国突发事件应对法》，2007年11月1日实施；</w:t>
      </w:r>
    </w:p>
    <w:p>
      <w:pPr>
        <w:keepNext w:val="0"/>
        <w:keepLines w:val="0"/>
        <w:pageBreakBefore w:val="0"/>
        <w:widowControl w:val="0"/>
        <w:numPr>
          <w:ilvl w:val="0"/>
          <w:numId w:val="1"/>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《中华人民共和国消防法》，2019年4月23日修订；</w:t>
      </w:r>
    </w:p>
    <w:p>
      <w:pPr>
        <w:keepNext w:val="0"/>
        <w:keepLines w:val="0"/>
        <w:pageBreakBefore w:val="0"/>
        <w:widowControl w:val="0"/>
        <w:numPr>
          <w:ilvl w:val="0"/>
          <w:numId w:val="1"/>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《中华人民共和国道路交通安全法》，2011年5月1日实施；</w:t>
      </w:r>
    </w:p>
    <w:bookmarkEnd w:id="45"/>
    <w:p>
      <w:pPr>
        <w:pStyle w:val="11"/>
        <w:spacing w:before="156"/>
        <w:ind w:firstLine="281"/>
        <w:rPr>
          <w:rFonts w:hint="default" w:ascii="Times New Roman" w:hAnsi="Times New Roman" w:eastAsia="仿宋" w:cs="Times New Roman"/>
          <w:color w:val="auto"/>
        </w:rPr>
      </w:pPr>
      <w:r>
        <w:rPr>
          <w:rFonts w:hint="eastAsia" w:eastAsia="仿宋" w:cs="Times New Roman"/>
          <w:color w:val="auto"/>
          <w:lang w:val="en-US" w:eastAsia="zh-CN"/>
        </w:rPr>
        <w:t>2.3</w:t>
      </w:r>
      <w:r>
        <w:rPr>
          <w:rFonts w:hint="default" w:ascii="Times New Roman" w:hAnsi="Times New Roman" w:eastAsia="仿宋" w:cs="Times New Roman"/>
          <w:color w:val="auto"/>
        </w:rPr>
        <w:t>.2 相关依据</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bookmarkStart w:id="46" w:name="_Hlk81491927"/>
      <w:bookmarkStart w:id="47" w:name="_Hlk81492008"/>
      <w:r>
        <w:rPr>
          <w:rFonts w:hint="default" w:ascii="Times New Roman" w:hAnsi="Times New Roman" w:eastAsia="仿宋" w:cs="Times New Roman"/>
          <w:color w:val="000000" w:themeColor="text1"/>
          <w:szCs w:val="22"/>
          <w14:textFill>
            <w14:solidFill>
              <w14:schemeClr w14:val="tx1"/>
            </w14:solidFill>
          </w14:textFill>
        </w:rPr>
        <w:t>《陕西省大气污染防治条例》（2014年1月1日）；</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《陕西省固体废物污染环境防治条例》（2016年4月1日）；</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《陕西省河道管理条例》（2010年3月26日）；</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《陕西省实施&lt;中华人民共和国突发事件应对法&gt;办法》（2012年10月1日）；</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《陕西省突发环境事件应急预案管理暂行办法》（2011年10月8日）；</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《陕西省人民政府关于印发&lt;突发事件总体应急预案的通知&gt;的通知》（陕政发〔2021〕11号）；</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《陕西省人民政府办公厅关于印发&lt;危化品道路运输重点区域安全监管方案&gt;的通知》（陕政办发〔2018〕69号）；</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《高速公路交通应急管理程序规定》（2008年12月3日）；</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《建设项目环境风险评价技术导则》（HJ/T169-2018）；</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《危险化学品重大危险源辨识》（GB18218-2018）；</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《安全标志及其使用导则》（GB2894-2008）；</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《生产过程安全卫生要求总则》（GB12801-2008）；</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《生产安全事故应急演练基本规范》（AQ/T9007-2019）；</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《危险场所电气防爆安全规范》（AQ3009-2007）；</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《企业突发环境事件风险评估指南（试行）》（环办〔2014〕34号），2014年4月3日实施；</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《企业突发环境事件风险分级方法》（HJ941-2018）；</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《突发环境事件应急监测技术规范》（HJ589-2010）；</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《突发环境事件调查处理办法》（环境保护部令第32号），2014年12月19日实施；</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《企业突发环境事件隐患排查和治理工作指南（试行）》（公告2016年第74号），2016年12月6日实施；</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《企业事业单位突发环境事件应急预案评审工作指南（试行）》（环办应急〔2018〕8号），2018年1月30日实施；</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《常用危险化学品应急速查手册》（中国石化出版社，2009）；</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《国家突发环境事件应急预案》，2014年12月29日实施；</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《突发环境事件信息报告办法》，2011年5月1日实施；</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《突发环境事件应急管理办法》，2015年6月5日实施；</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《企业事业单位突发环境事件应急预案备案管理办法（试行）》，2015年1月8日实施；</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《关于进一步加强突发环境事件应急预案工作的通知》，2012年9月17日；</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《危险化学品安全管理条例（2013年修正）》，2013年12月7日实施；</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《关于进一步加强环境影响评价管理防范环境风险的通知》，2012年7月3日实施。</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《陕西省突发环境事件应急预案管理暂行办法》，2011年10月8日；</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bookmarkStart w:id="48" w:name="_Hlk80458600"/>
      <w:r>
        <w:rPr>
          <w:rFonts w:hint="default" w:ascii="Times New Roman" w:hAnsi="Times New Roman" w:eastAsia="仿宋" w:cs="Times New Roman"/>
          <w:color w:val="000000" w:themeColor="text1"/>
          <w:szCs w:val="22"/>
          <w14:textFill>
            <w14:solidFill>
              <w14:schemeClr w14:val="tx1"/>
            </w14:solidFill>
          </w14:textFill>
        </w:rPr>
        <w:t>《西安市人民政府办公厅关于印发西安市突发环境事件应急预案（2020年修订版）的通知》（市政办函〔2020〕173号）</w:t>
      </w:r>
      <w:bookmarkEnd w:id="48"/>
      <w:r>
        <w:rPr>
          <w:rFonts w:hint="default" w:ascii="Times New Roman" w:hAnsi="Times New Roman" w:eastAsia="仿宋" w:cs="Times New Roman"/>
          <w:color w:val="000000" w:themeColor="text1"/>
          <w:szCs w:val="22"/>
          <w14:textFill>
            <w14:solidFill>
              <w14:schemeClr w14:val="tx1"/>
            </w14:solidFill>
          </w14:textFill>
        </w:rPr>
        <w:t>；</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《西安市人民政府关于印发突发事件总体应急预案的通知》（市政发〔2021〕23号）；</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bookmarkStart w:id="49" w:name="_Hlk80458632"/>
      <w:r>
        <w:rPr>
          <w:rFonts w:hint="default" w:ascii="Times New Roman" w:hAnsi="Times New Roman" w:eastAsia="仿宋" w:cs="Times New Roman"/>
          <w:color w:val="000000" w:themeColor="text1"/>
          <w:szCs w:val="22"/>
          <w14:textFill>
            <w14:solidFill>
              <w14:schemeClr w14:val="tx1"/>
            </w14:solidFill>
          </w14:textFill>
        </w:rPr>
        <w:t>《</w:t>
      </w:r>
      <w:r>
        <w:rPr>
          <w:rFonts w:hint="default" w:ascii="Times New Roman" w:hAnsi="Times New Roman" w:eastAsia="仿宋" w:cs="Times New Roman"/>
          <w:color w:val="000000" w:themeColor="text1"/>
          <w:szCs w:val="22"/>
          <w:lang w:eastAsia="zh-CN"/>
          <w14:textFill>
            <w14:solidFill>
              <w14:schemeClr w14:val="tx1"/>
            </w14:solidFill>
          </w14:textFill>
        </w:rPr>
        <w:t>西安绕城高速公路通行能力提升工程</w:t>
      </w:r>
      <w:r>
        <w:rPr>
          <w:rFonts w:hint="default" w:ascii="Times New Roman" w:hAnsi="Times New Roman" w:eastAsia="仿宋" w:cs="Times New Roman"/>
          <w:color w:val="000000" w:themeColor="text1"/>
          <w:szCs w:val="22"/>
          <w14:textFill>
            <w14:solidFill>
              <w14:schemeClr w14:val="tx1"/>
            </w14:solidFill>
          </w14:textFill>
        </w:rPr>
        <w:t>环境影响报告书》，</w:t>
      </w:r>
      <w:r>
        <w:rPr>
          <w:rFonts w:hint="default" w:ascii="Times New Roman" w:hAnsi="Times New Roman" w:eastAsia="仿宋" w:cs="Times New Roman"/>
          <w:color w:val="000000" w:themeColor="text1"/>
          <w:szCs w:val="22"/>
          <w:lang w:eastAsia="zh-CN"/>
          <w14:textFill>
            <w14:solidFill>
              <w14:schemeClr w14:val="tx1"/>
            </w14:solidFill>
          </w14:textFill>
        </w:rPr>
        <w:t>长安大学</w:t>
      </w:r>
      <w:r>
        <w:rPr>
          <w:rFonts w:hint="default" w:ascii="Times New Roman" w:hAnsi="Times New Roman" w:eastAsia="仿宋" w:cs="Times New Roman"/>
          <w:color w:val="000000" w:themeColor="text1"/>
          <w:szCs w:val="22"/>
          <w14:textFill>
            <w14:solidFill>
              <w14:schemeClr w14:val="tx1"/>
            </w14:solidFill>
          </w14:textFill>
        </w:rPr>
        <w:t>，201</w:t>
      </w:r>
      <w:r>
        <w:rPr>
          <w:rFonts w:hint="default" w:ascii="Times New Roman" w:hAnsi="Times New Roman" w:eastAsia="仿宋" w:cs="Times New Roman"/>
          <w:color w:val="000000" w:themeColor="text1"/>
          <w:szCs w:val="22"/>
          <w:lang w:val="en-US" w:eastAsia="zh-CN"/>
          <w14:textFill>
            <w14:solidFill>
              <w14:schemeClr w14:val="tx1"/>
            </w14:solidFill>
          </w14:textFill>
        </w:rPr>
        <w:t>6</w:t>
      </w:r>
      <w:r>
        <w:rPr>
          <w:rFonts w:hint="default" w:ascii="Times New Roman" w:hAnsi="Times New Roman" w:eastAsia="仿宋" w:cs="Times New Roman"/>
          <w:color w:val="000000" w:themeColor="text1"/>
          <w:szCs w:val="22"/>
          <w14:textFill>
            <w14:solidFill>
              <w14:schemeClr w14:val="tx1"/>
            </w14:solidFill>
          </w14:textFill>
        </w:rPr>
        <w:t>年</w:t>
      </w:r>
      <w:r>
        <w:rPr>
          <w:rFonts w:hint="default" w:ascii="Times New Roman" w:hAnsi="Times New Roman" w:eastAsia="仿宋" w:cs="Times New Roman"/>
          <w:color w:val="000000" w:themeColor="text1"/>
          <w:szCs w:val="22"/>
          <w:lang w:val="en-US" w:eastAsia="zh-CN"/>
          <w14:textFill>
            <w14:solidFill>
              <w14:schemeClr w14:val="tx1"/>
            </w14:solidFill>
          </w14:textFill>
        </w:rPr>
        <w:t>5</w:t>
      </w:r>
      <w:r>
        <w:rPr>
          <w:rFonts w:hint="default" w:ascii="Times New Roman" w:hAnsi="Times New Roman" w:eastAsia="仿宋" w:cs="Times New Roman"/>
          <w:color w:val="000000" w:themeColor="text1"/>
          <w:szCs w:val="22"/>
          <w14:textFill>
            <w14:solidFill>
              <w14:schemeClr w14:val="tx1"/>
            </w14:solidFill>
          </w14:textFill>
        </w:rPr>
        <w:t>月；</w:t>
      </w:r>
    </w:p>
    <w:p>
      <w:pPr>
        <w:keepNext w:val="0"/>
        <w:keepLines w:val="0"/>
        <w:pageBreakBefore w:val="0"/>
        <w:widowControl w:val="0"/>
        <w:numPr>
          <w:ilvl w:val="0"/>
          <w:numId w:val="2"/>
        </w:numPr>
        <w:kinsoku/>
        <w:wordWrap/>
        <w:overflowPunct/>
        <w:topLinePunct w:val="0"/>
        <w:autoSpaceDE/>
        <w:autoSpaceDN/>
        <w:bidi w:val="0"/>
        <w:adjustRightInd w:val="0"/>
        <w:snapToGrid w:val="0"/>
        <w:ind w:left="0" w:leftChars="0" w:firstLine="480" w:firstLineChars="200"/>
        <w:textAlignment w:val="auto"/>
        <w:rPr>
          <w:rFonts w:hint="default" w:ascii="Times New Roman" w:hAnsi="Times New Roman" w:eastAsia="仿宋" w:cs="Times New Roman"/>
          <w:color w:val="000000" w:themeColor="text1"/>
          <w:szCs w:val="22"/>
          <w14:textFill>
            <w14:solidFill>
              <w14:schemeClr w14:val="tx1"/>
            </w14:solidFill>
          </w14:textFill>
        </w:rPr>
      </w:pPr>
      <w:r>
        <w:rPr>
          <w:rFonts w:hint="default" w:ascii="Times New Roman" w:hAnsi="Times New Roman" w:eastAsia="仿宋" w:cs="Times New Roman"/>
          <w:color w:val="000000" w:themeColor="text1"/>
          <w:szCs w:val="22"/>
          <w14:textFill>
            <w14:solidFill>
              <w14:schemeClr w14:val="tx1"/>
            </w14:solidFill>
          </w14:textFill>
        </w:rPr>
        <w:t>陕西省生态环境厅关于《</w:t>
      </w:r>
      <w:r>
        <w:rPr>
          <w:rFonts w:hint="default" w:ascii="Times New Roman" w:hAnsi="Times New Roman" w:eastAsia="仿宋" w:cs="Times New Roman"/>
          <w:color w:val="000000" w:themeColor="text1"/>
          <w:szCs w:val="22"/>
          <w:lang w:eastAsia="zh-CN"/>
          <w14:textFill>
            <w14:solidFill>
              <w14:schemeClr w14:val="tx1"/>
            </w14:solidFill>
          </w14:textFill>
        </w:rPr>
        <w:t>西安绕城高速公路通行能力提升工程</w:t>
      </w:r>
      <w:r>
        <w:rPr>
          <w:rFonts w:hint="default" w:ascii="Times New Roman" w:hAnsi="Times New Roman" w:eastAsia="仿宋" w:cs="Times New Roman"/>
          <w:color w:val="000000" w:themeColor="text1"/>
          <w:szCs w:val="22"/>
          <w14:textFill>
            <w14:solidFill>
              <w14:schemeClr w14:val="tx1"/>
            </w14:solidFill>
          </w14:textFill>
        </w:rPr>
        <w:t>环境影响报告书的批复》（陕环批复〔2018〕598号）。</w:t>
      </w:r>
      <w:bookmarkEnd w:id="46"/>
    </w:p>
    <w:bookmarkEnd w:id="47"/>
    <w:bookmarkEnd w:id="49"/>
    <w:p>
      <w:pPr>
        <w:pStyle w:val="11"/>
        <w:ind w:firstLine="562"/>
        <w:rPr>
          <w:rFonts w:eastAsia="仿宋"/>
          <w:color w:val="000000" w:themeColor="text1"/>
          <w14:textFill>
            <w14:solidFill>
              <w14:schemeClr w14:val="tx1"/>
            </w14:solidFill>
          </w14:textFill>
        </w:rPr>
      </w:pPr>
      <w:r>
        <w:rPr>
          <w:rFonts w:hint="eastAsia" w:eastAsia="仿宋"/>
          <w:color w:val="000000" w:themeColor="text1"/>
          <w:lang w:val="en-US" w:eastAsia="zh-CN"/>
          <w14:textFill>
            <w14:solidFill>
              <w14:schemeClr w14:val="tx1"/>
            </w14:solidFill>
          </w14:textFill>
        </w:rPr>
        <w:t>2.3.</w:t>
      </w:r>
      <w:r>
        <w:rPr>
          <w:rFonts w:eastAsia="仿宋"/>
          <w:color w:val="000000" w:themeColor="text1"/>
          <w14:textFill>
            <w14:solidFill>
              <w14:schemeClr w14:val="tx1"/>
            </w14:solidFill>
          </w14:textFill>
        </w:rPr>
        <w:t>3相关标准</w:t>
      </w:r>
    </w:p>
    <w:p>
      <w:pPr>
        <w:keepNext w:val="0"/>
        <w:keepLines w:val="0"/>
        <w:pageBreakBefore w:val="0"/>
        <w:widowControl w:val="0"/>
        <w:numPr>
          <w:ilvl w:val="0"/>
          <w:numId w:val="3"/>
        </w:numPr>
        <w:kinsoku/>
        <w:wordWrap/>
        <w:overflowPunct/>
        <w:topLinePunct w:val="0"/>
        <w:autoSpaceDE/>
        <w:autoSpaceDN/>
        <w:bidi w:val="0"/>
        <w:adjustRightInd w:val="0"/>
        <w:snapToGrid w:val="0"/>
        <w:ind w:left="0" w:leftChars="0" w:firstLine="480" w:firstLineChars="200"/>
        <w:textAlignment w:val="auto"/>
        <w:rPr>
          <w:color w:val="000000" w:themeColor="text1"/>
          <w:szCs w:val="22"/>
          <w14:textFill>
            <w14:solidFill>
              <w14:schemeClr w14:val="tx1"/>
            </w14:solidFill>
          </w14:textFill>
        </w:rPr>
      </w:pPr>
      <w:bookmarkStart w:id="50" w:name="_Hlk81492054"/>
      <w:r>
        <w:rPr>
          <w:color w:val="000000" w:themeColor="text1"/>
          <w:szCs w:val="22"/>
          <w14:textFill>
            <w14:solidFill>
              <w14:schemeClr w14:val="tx1"/>
            </w14:solidFill>
          </w14:textFill>
        </w:rPr>
        <w:t>《环境空气质量标准》（GB3095-2012）；</w:t>
      </w:r>
    </w:p>
    <w:p>
      <w:pPr>
        <w:keepNext w:val="0"/>
        <w:keepLines w:val="0"/>
        <w:pageBreakBefore w:val="0"/>
        <w:widowControl w:val="0"/>
        <w:numPr>
          <w:ilvl w:val="0"/>
          <w:numId w:val="3"/>
        </w:numPr>
        <w:kinsoku/>
        <w:wordWrap/>
        <w:overflowPunct/>
        <w:topLinePunct w:val="0"/>
        <w:autoSpaceDE/>
        <w:autoSpaceDN/>
        <w:bidi w:val="0"/>
        <w:adjustRightInd w:val="0"/>
        <w:snapToGrid w:val="0"/>
        <w:ind w:left="0" w:leftChars="0" w:firstLine="480" w:firstLineChars="200"/>
        <w:textAlignment w:val="auto"/>
        <w:rPr>
          <w:color w:val="000000" w:themeColor="text1"/>
          <w:szCs w:val="22"/>
          <w14:textFill>
            <w14:solidFill>
              <w14:schemeClr w14:val="tx1"/>
            </w14:solidFill>
          </w14:textFill>
        </w:rPr>
      </w:pPr>
      <w:r>
        <w:rPr>
          <w:color w:val="000000" w:themeColor="text1"/>
          <w:szCs w:val="22"/>
          <w14:textFill>
            <w14:solidFill>
              <w14:schemeClr w14:val="tx1"/>
            </w14:solidFill>
          </w14:textFill>
        </w:rPr>
        <w:t>《地表水环境质量标准》（GB3838-2002）；</w:t>
      </w:r>
    </w:p>
    <w:p>
      <w:pPr>
        <w:keepNext w:val="0"/>
        <w:keepLines w:val="0"/>
        <w:pageBreakBefore w:val="0"/>
        <w:widowControl w:val="0"/>
        <w:numPr>
          <w:ilvl w:val="0"/>
          <w:numId w:val="3"/>
        </w:numPr>
        <w:kinsoku/>
        <w:wordWrap/>
        <w:overflowPunct/>
        <w:topLinePunct w:val="0"/>
        <w:autoSpaceDE/>
        <w:autoSpaceDN/>
        <w:bidi w:val="0"/>
        <w:adjustRightInd w:val="0"/>
        <w:snapToGrid w:val="0"/>
        <w:ind w:left="0" w:leftChars="0" w:firstLine="480" w:firstLineChars="200"/>
        <w:textAlignment w:val="auto"/>
        <w:rPr>
          <w:color w:val="000000" w:themeColor="text1"/>
          <w:szCs w:val="22"/>
          <w14:textFill>
            <w14:solidFill>
              <w14:schemeClr w14:val="tx1"/>
            </w14:solidFill>
          </w14:textFill>
        </w:rPr>
      </w:pPr>
      <w:r>
        <w:rPr>
          <w:color w:val="000000" w:themeColor="text1"/>
          <w:szCs w:val="22"/>
          <w14:textFill>
            <w14:solidFill>
              <w14:schemeClr w14:val="tx1"/>
            </w14:solidFill>
          </w14:textFill>
        </w:rPr>
        <w:t>《大气污染物综合排放标准》（GB16297-1996）；</w:t>
      </w:r>
    </w:p>
    <w:p>
      <w:pPr>
        <w:keepNext w:val="0"/>
        <w:keepLines w:val="0"/>
        <w:pageBreakBefore w:val="0"/>
        <w:widowControl w:val="0"/>
        <w:numPr>
          <w:ilvl w:val="0"/>
          <w:numId w:val="3"/>
        </w:numPr>
        <w:kinsoku/>
        <w:wordWrap/>
        <w:overflowPunct/>
        <w:topLinePunct w:val="0"/>
        <w:autoSpaceDE/>
        <w:autoSpaceDN/>
        <w:bidi w:val="0"/>
        <w:adjustRightInd w:val="0"/>
        <w:snapToGrid w:val="0"/>
        <w:ind w:left="0" w:leftChars="0" w:firstLine="480" w:firstLineChars="200"/>
        <w:textAlignment w:val="auto"/>
        <w:rPr>
          <w:color w:val="000000" w:themeColor="text1"/>
          <w:szCs w:val="22"/>
          <w14:textFill>
            <w14:solidFill>
              <w14:schemeClr w14:val="tx1"/>
            </w14:solidFill>
          </w14:textFill>
        </w:rPr>
      </w:pPr>
      <w:r>
        <w:rPr>
          <w:rFonts w:hint="default" w:ascii="Times New Roman" w:hAnsi="Times New Roman" w:eastAsia="仿宋" w:cs="Times New Roman"/>
          <w:color w:val="auto"/>
        </w:rPr>
        <w:t>《危险废物贮存污染控制标准》（GB 18597—2023）</w:t>
      </w:r>
      <w:r>
        <w:rPr>
          <w:color w:val="000000" w:themeColor="text1"/>
          <w:szCs w:val="22"/>
          <w14:textFill>
            <w14:solidFill>
              <w14:schemeClr w14:val="tx1"/>
            </w14:solidFill>
          </w14:textFill>
        </w:rPr>
        <w:t>。</w:t>
      </w:r>
      <w:bookmarkEnd w:id="50"/>
    </w:p>
    <w:p>
      <w:pPr>
        <w:pStyle w:val="9"/>
        <w:rPr>
          <w:color w:val="000000" w:themeColor="text1"/>
          <w14:textFill>
            <w14:solidFill>
              <w14:schemeClr w14:val="tx1"/>
            </w14:solidFill>
          </w14:textFill>
        </w:rPr>
      </w:pPr>
      <w:r>
        <w:rPr>
          <w:color w:val="000000" w:themeColor="text1"/>
          <w14:textFill>
            <w14:solidFill>
              <w14:schemeClr w14:val="tx1"/>
            </w14:solidFill>
          </w14:textFill>
        </w:rPr>
        <w:t>3 资料准备</w:t>
      </w:r>
      <w:bookmarkEnd w:id="42"/>
      <w:r>
        <w:rPr>
          <w:color w:val="000000" w:themeColor="text1"/>
          <w14:textFill>
            <w14:solidFill>
              <w14:schemeClr w14:val="tx1"/>
            </w14:solidFill>
          </w14:textFill>
        </w:rPr>
        <w:t>与环境风险识别</w:t>
      </w:r>
      <w:bookmarkEnd w:id="43"/>
      <w:bookmarkEnd w:id="44"/>
    </w:p>
    <w:p>
      <w:pPr>
        <w:pStyle w:val="10"/>
        <w:ind w:firstLine="321"/>
        <w:rPr>
          <w:color w:val="000000" w:themeColor="text1"/>
          <w14:textFill>
            <w14:solidFill>
              <w14:schemeClr w14:val="tx1"/>
            </w14:solidFill>
          </w14:textFill>
        </w:rPr>
      </w:pPr>
      <w:bookmarkStart w:id="51" w:name="_Toc431402275"/>
      <w:bookmarkEnd w:id="51"/>
      <w:bookmarkStart w:id="52" w:name="_Toc421215631"/>
      <w:bookmarkEnd w:id="52"/>
      <w:bookmarkStart w:id="53" w:name="_Toc266547500"/>
      <w:bookmarkEnd w:id="53"/>
      <w:bookmarkStart w:id="54" w:name="_Toc444845459"/>
      <w:bookmarkEnd w:id="54"/>
      <w:bookmarkStart w:id="55" w:name="_Toc273391723"/>
      <w:bookmarkEnd w:id="55"/>
      <w:bookmarkStart w:id="56" w:name="_Toc422830015"/>
      <w:bookmarkEnd w:id="56"/>
      <w:bookmarkStart w:id="57" w:name="_Toc273391637"/>
      <w:bookmarkEnd w:id="57"/>
      <w:bookmarkStart w:id="58" w:name="_Toc273391313"/>
      <w:bookmarkEnd w:id="58"/>
      <w:bookmarkStart w:id="59" w:name="_Toc311902732"/>
      <w:bookmarkEnd w:id="59"/>
      <w:bookmarkStart w:id="60" w:name="_Toc47541598"/>
      <w:bookmarkStart w:id="61" w:name="_Toc80973306"/>
      <w:bookmarkStart w:id="62" w:name="_Toc69739729"/>
      <w:r>
        <w:rPr>
          <w:color w:val="000000" w:themeColor="text1"/>
          <w14:textFill>
            <w14:solidFill>
              <w14:schemeClr w14:val="tx1"/>
            </w14:solidFill>
          </w14:textFill>
        </w:rPr>
        <w:t>3.1</w:t>
      </w:r>
      <w:bookmarkEnd w:id="60"/>
      <w:r>
        <w:rPr>
          <w:color w:val="000000" w:themeColor="text1"/>
          <w14:textFill>
            <w14:solidFill>
              <w14:schemeClr w14:val="tx1"/>
            </w14:solidFill>
          </w14:textFill>
        </w:rPr>
        <w:t xml:space="preserve"> 基本信息</w:t>
      </w:r>
      <w:bookmarkEnd w:id="61"/>
      <w:bookmarkEnd w:id="62"/>
    </w:p>
    <w:p>
      <w:pPr>
        <w:pStyle w:val="11"/>
        <w:ind w:firstLine="562"/>
        <w:rPr>
          <w:rFonts w:eastAsia="仿宋"/>
          <w:color w:val="000000" w:themeColor="text1"/>
          <w14:textFill>
            <w14:solidFill>
              <w14:schemeClr w14:val="tx1"/>
            </w14:solidFill>
          </w14:textFill>
        </w:rPr>
      </w:pPr>
      <w:r>
        <w:rPr>
          <w:rFonts w:eastAsia="仿宋"/>
          <w:color w:val="000000" w:themeColor="text1"/>
          <w14:textFill>
            <w14:solidFill>
              <w14:schemeClr w14:val="tx1"/>
            </w14:solidFill>
          </w14:textFill>
        </w:rPr>
        <w:t>3.1.1 企业基本信息</w:t>
      </w:r>
    </w:p>
    <w:p>
      <w:pPr>
        <w:ind w:firstLine="560"/>
        <w:rPr>
          <w:color w:val="000000" w:themeColor="text1"/>
          <w:highlight w:val="none"/>
          <w14:textFill>
            <w14:solidFill>
              <w14:schemeClr w14:val="tx1"/>
            </w14:solidFill>
          </w14:textFill>
        </w:rPr>
      </w:pPr>
      <w:bookmarkStart w:id="63" w:name="_Toc422830016"/>
      <w:bookmarkEnd w:id="63"/>
      <w:bookmarkStart w:id="64" w:name="_Toc444845460"/>
      <w:bookmarkEnd w:id="64"/>
      <w:bookmarkStart w:id="65" w:name="_Toc431402281"/>
      <w:bookmarkEnd w:id="65"/>
      <w:r>
        <w:rPr>
          <w:rFonts w:hint="eastAsia"/>
          <w:color w:val="000000" w:themeColor="text1"/>
          <w:highlight w:val="none"/>
          <w:lang w:eastAsia="zh-CN"/>
          <w14:textFill>
            <w14:solidFill>
              <w14:schemeClr w14:val="tx1"/>
            </w14:solidFill>
          </w14:textFill>
        </w:rPr>
        <w:t>陕西交控集团绕城高速公路扩能工程管理处</w:t>
      </w:r>
      <w:r>
        <w:rPr>
          <w:color w:val="000000" w:themeColor="text1"/>
          <w:highlight w:val="none"/>
          <w14:textFill>
            <w14:solidFill>
              <w14:schemeClr w14:val="tx1"/>
            </w14:solidFill>
          </w14:textFill>
        </w:rPr>
        <w:t>隶属于陕西</w:t>
      </w:r>
      <w:r>
        <w:rPr>
          <w:rFonts w:hint="eastAsia"/>
          <w:color w:val="000000" w:themeColor="text1"/>
          <w:highlight w:val="none"/>
          <w:lang w:eastAsia="zh-CN"/>
          <w14:textFill>
            <w14:solidFill>
              <w14:schemeClr w14:val="tx1"/>
            </w14:solidFill>
          </w14:textFill>
        </w:rPr>
        <w:t>交通控股</w:t>
      </w:r>
      <w:r>
        <w:rPr>
          <w:color w:val="000000" w:themeColor="text1"/>
          <w:highlight w:val="none"/>
          <w14:textFill>
            <w14:solidFill>
              <w14:schemeClr w14:val="tx1"/>
            </w14:solidFill>
          </w14:textFill>
        </w:rPr>
        <w:t>集团公司，目前承担着</w:t>
      </w:r>
      <w:r>
        <w:rPr>
          <w:rFonts w:hint="eastAsia"/>
          <w:color w:val="000000" w:themeColor="text1"/>
          <w:highlight w:val="none"/>
          <w14:textFill>
            <w14:solidFill>
              <w14:schemeClr w14:val="tx1"/>
            </w14:solidFill>
          </w14:textFill>
        </w:rPr>
        <w:t>西安绕城高速公路通行能力提升工程</w:t>
      </w:r>
      <w:r>
        <w:rPr>
          <w:rFonts w:hint="eastAsia"/>
          <w:color w:val="000000" w:themeColor="text1"/>
          <w:highlight w:val="none"/>
          <w:lang w:eastAsia="zh-CN"/>
          <w14:textFill>
            <w14:solidFill>
              <w14:schemeClr w14:val="tx1"/>
            </w14:solidFill>
          </w14:textFill>
        </w:rPr>
        <w:t>、西安绕城高速公路西咸互通式立交工程和</w:t>
      </w:r>
      <w:r>
        <w:rPr>
          <w:rFonts w:hint="eastAsia"/>
          <w:highlight w:val="none"/>
        </w:rPr>
        <w:t>西咸国际机场专用高速公路秦汉立交</w:t>
      </w:r>
      <w:r>
        <w:rPr>
          <w:rFonts w:hint="eastAsia"/>
          <w:highlight w:val="none"/>
          <w:lang w:eastAsia="zh-CN"/>
        </w:rPr>
        <w:t>的</w:t>
      </w:r>
      <w:r>
        <w:rPr>
          <w:color w:val="000000" w:themeColor="text1"/>
          <w:highlight w:val="none"/>
          <w14:textFill>
            <w14:solidFill>
              <w14:schemeClr w14:val="tx1"/>
            </w14:solidFill>
          </w14:textFill>
        </w:rPr>
        <w:t>养护、路政、治超、服务区管理工作，内设办公室、财务科、工程科共</w:t>
      </w:r>
      <w:r>
        <w:rPr>
          <w:rFonts w:hint="eastAsia"/>
          <w:color w:val="000000" w:themeColor="text1"/>
          <w:highlight w:val="none"/>
          <w:lang w:val="en-US" w:eastAsia="zh-CN"/>
          <w14:textFill>
            <w14:solidFill>
              <w14:schemeClr w14:val="tx1"/>
            </w14:solidFill>
          </w14:textFill>
        </w:rPr>
        <w:t>3</w:t>
      </w:r>
      <w:r>
        <w:rPr>
          <w:color w:val="000000" w:themeColor="text1"/>
          <w:highlight w:val="none"/>
          <w14:textFill>
            <w14:solidFill>
              <w14:schemeClr w14:val="tx1"/>
            </w14:solidFill>
          </w14:textFill>
        </w:rPr>
        <w:t>个工作部门。</w:t>
      </w:r>
      <w:r>
        <w:rPr>
          <w:rFonts w:hint="eastAsia"/>
          <w:color w:val="000000" w:themeColor="text1"/>
          <w:highlight w:val="none"/>
          <w:lang w:eastAsia="zh-CN"/>
          <w14:textFill>
            <w14:solidFill>
              <w14:schemeClr w14:val="tx1"/>
            </w14:solidFill>
          </w14:textFill>
        </w:rPr>
        <w:t>陕西交控集团绕城高速公路扩能工程管理处</w:t>
      </w:r>
      <w:r>
        <w:rPr>
          <w:color w:val="000000" w:themeColor="text1"/>
          <w:highlight w:val="none"/>
          <w14:textFill>
            <w14:solidFill>
              <w14:schemeClr w14:val="tx1"/>
            </w14:solidFill>
          </w14:textFill>
        </w:rPr>
        <w:t>组织机构框架图如下：</w:t>
      </w:r>
    </w:p>
    <w:p>
      <w:pPr>
        <w:pStyle w:val="28"/>
        <w:rPr>
          <w:highlight w:val="none"/>
        </w:rPr>
      </w:pPr>
    </w:p>
    <w:p>
      <w:pPr>
        <w:ind w:firstLine="484" w:firstLineChars="202"/>
        <w:jc w:val="center"/>
        <w:rPr>
          <w:color w:val="000000" w:themeColor="text1"/>
          <w:highlight w:val="none"/>
          <w14:textFill>
            <w14:solidFill>
              <w14:schemeClr w14:val="tx1"/>
            </w14:solidFill>
          </w14:textFill>
        </w:rPr>
      </w:pPr>
      <w:r>
        <w:rPr>
          <w:sz w:val="24"/>
          <w:highlight w:val="none"/>
        </w:rPr>
        <mc:AlternateContent>
          <mc:Choice Requires="wpg">
            <w:drawing>
              <wp:anchor distT="0" distB="0" distL="114300" distR="114300" simplePos="0" relativeHeight="251667456" behindDoc="0" locked="0" layoutInCell="1" allowOverlap="1">
                <wp:simplePos x="0" y="0"/>
                <wp:positionH relativeFrom="column">
                  <wp:posOffset>1088390</wp:posOffset>
                </wp:positionH>
                <wp:positionV relativeFrom="paragraph">
                  <wp:posOffset>67310</wp:posOffset>
                </wp:positionV>
                <wp:extent cx="3726180" cy="1393190"/>
                <wp:effectExtent l="6350" t="6350" r="16510" b="17780"/>
                <wp:wrapNone/>
                <wp:docPr id="28" name="组合 28"/>
                <wp:cNvGraphicFramePr/>
                <a:graphic xmlns:a="http://schemas.openxmlformats.org/drawingml/2006/main">
                  <a:graphicData uri="http://schemas.microsoft.com/office/word/2010/wordprocessingGroup">
                    <wpg:wgp>
                      <wpg:cNvGrpSpPr/>
                      <wpg:grpSpPr>
                        <a:xfrm>
                          <a:off x="0" y="0"/>
                          <a:ext cx="3726180" cy="1393190"/>
                          <a:chOff x="4944" y="138781"/>
                          <a:chExt cx="5868" cy="2194"/>
                        </a:xfrm>
                      </wpg:grpSpPr>
                      <wps:wsp>
                        <wps:cNvPr id="20" name="圆角矩形 20"/>
                        <wps:cNvSpPr/>
                        <wps:spPr>
                          <a:xfrm>
                            <a:off x="5976" y="138781"/>
                            <a:ext cx="3635" cy="635"/>
                          </a:xfrm>
                          <a:prstGeom prst="roundRect">
                            <a:avLst/>
                          </a:prstGeom>
                        </wps:spPr>
                        <wps:style>
                          <a:lnRef idx="2">
                            <a:schemeClr val="dk1"/>
                          </a:lnRef>
                          <a:fillRef idx="1">
                            <a:schemeClr val="lt1"/>
                          </a:fillRef>
                          <a:effectRef idx="0">
                            <a:schemeClr val="dk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lang w:val="en-US" w:eastAsia="zh-CN"/>
                                </w:rPr>
                              </w:pPr>
                              <w:r>
                                <w:rPr>
                                  <w:rFonts w:hint="eastAsia"/>
                                  <w:b/>
                                  <w:bCs/>
                                  <w:lang w:val="en-US" w:eastAsia="zh-CN"/>
                                </w:rPr>
                                <w:t>绕城高速公路扩能工程管理处</w:t>
                              </w:r>
                              <w:r>
                                <w:rPr>
                                  <w:rFonts w:hint="eastAsia"/>
                                  <w:lang w:val="en-US" w:eastAsia="zh-CN"/>
                                </w:rPr>
                                <w:t xml:space="preserve"> </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1" name="圆角矩形 21"/>
                        <wps:cNvSpPr/>
                        <wps:spPr>
                          <a:xfrm>
                            <a:off x="4944" y="140317"/>
                            <a:ext cx="1308" cy="635"/>
                          </a:xfrm>
                          <a:prstGeom prst="roundRect">
                            <a:avLst/>
                          </a:prstGeom>
                        </wps:spPr>
                        <wps:style>
                          <a:lnRef idx="2">
                            <a:schemeClr val="dk1"/>
                          </a:lnRef>
                          <a:fillRef idx="1">
                            <a:schemeClr val="lt1"/>
                          </a:fillRef>
                          <a:effectRef idx="0">
                            <a:schemeClr val="dk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b/>
                                  <w:bCs/>
                                  <w:lang w:val="en-US" w:eastAsia="zh-CN"/>
                                </w:rPr>
                              </w:pPr>
                              <w:r>
                                <w:rPr>
                                  <w:rFonts w:hint="eastAsia"/>
                                  <w:b/>
                                  <w:bCs/>
                                  <w:lang w:val="en-US" w:eastAsia="zh-CN"/>
                                </w:rPr>
                                <w:t>办公室</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2" name="圆角矩形 22"/>
                        <wps:cNvSpPr/>
                        <wps:spPr>
                          <a:xfrm>
                            <a:off x="7236" y="140341"/>
                            <a:ext cx="1308" cy="635"/>
                          </a:xfrm>
                          <a:prstGeom prst="roundRect">
                            <a:avLst/>
                          </a:prstGeom>
                        </wps:spPr>
                        <wps:style>
                          <a:lnRef idx="2">
                            <a:schemeClr val="dk1"/>
                          </a:lnRef>
                          <a:fillRef idx="1">
                            <a:schemeClr val="lt1"/>
                          </a:fillRef>
                          <a:effectRef idx="0">
                            <a:schemeClr val="dk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b/>
                                  <w:bCs/>
                                  <w:lang w:val="en-US" w:eastAsia="zh-CN"/>
                                </w:rPr>
                              </w:pPr>
                              <w:r>
                                <w:rPr>
                                  <w:rFonts w:hint="eastAsia"/>
                                  <w:b/>
                                  <w:bCs/>
                                  <w:lang w:val="en-US" w:eastAsia="zh-CN"/>
                                </w:rPr>
                                <w:t>财务科</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3" name="圆角矩形 23"/>
                        <wps:cNvSpPr/>
                        <wps:spPr>
                          <a:xfrm>
                            <a:off x="9504" y="140305"/>
                            <a:ext cx="1308" cy="635"/>
                          </a:xfrm>
                          <a:prstGeom prst="roundRect">
                            <a:avLst/>
                          </a:prstGeom>
                        </wps:spPr>
                        <wps:style>
                          <a:lnRef idx="2">
                            <a:schemeClr val="dk1"/>
                          </a:lnRef>
                          <a:fillRef idx="1">
                            <a:schemeClr val="lt1"/>
                          </a:fillRef>
                          <a:effectRef idx="0">
                            <a:schemeClr val="dk1"/>
                          </a:effectRef>
                          <a:fontRef idx="minor">
                            <a:schemeClr val="dk1"/>
                          </a:fontRef>
                        </wps:style>
                        <wps:txb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b/>
                                  <w:bCs/>
                                  <w:lang w:val="en-US" w:eastAsia="zh-CN"/>
                                </w:rPr>
                              </w:pPr>
                              <w:r>
                                <w:rPr>
                                  <w:rFonts w:hint="eastAsia"/>
                                  <w:b/>
                                  <w:bCs/>
                                  <w:lang w:val="en-US" w:eastAsia="zh-CN"/>
                                </w:rPr>
                                <w:t>工程科</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24" name="直接箭头连接符 24"/>
                        <wps:cNvCnPr>
                          <a:stCxn id="20" idx="2"/>
                        </wps:cNvCnPr>
                        <wps:spPr>
                          <a:xfrm>
                            <a:off x="7794" y="139416"/>
                            <a:ext cx="0" cy="926"/>
                          </a:xfrm>
                          <a:prstGeom prst="straightConnector1">
                            <a:avLst/>
                          </a:prstGeom>
                          <a:ln>
                            <a:tailEnd type="arrow" w="med" len="med"/>
                          </a:ln>
                        </wps:spPr>
                        <wps:style>
                          <a:lnRef idx="2">
                            <a:schemeClr val="dk1"/>
                          </a:lnRef>
                          <a:fillRef idx="0">
                            <a:schemeClr val="dk1"/>
                          </a:fillRef>
                          <a:effectRef idx="1">
                            <a:schemeClr val="dk1"/>
                          </a:effectRef>
                          <a:fontRef idx="minor">
                            <a:schemeClr val="tx1"/>
                          </a:fontRef>
                        </wps:style>
                        <wps:bodyPr/>
                      </wps:wsp>
                      <wps:wsp>
                        <wps:cNvPr id="26" name="肘形连接符 26"/>
                        <wps:cNvCnPr>
                          <a:endCxn id="21" idx="0"/>
                        </wps:cNvCnPr>
                        <wps:spPr>
                          <a:xfrm rot="10800000" flipV="1">
                            <a:off x="5598" y="139837"/>
                            <a:ext cx="2178" cy="479"/>
                          </a:xfrm>
                          <a:prstGeom prst="bentConnector2">
                            <a:avLst/>
                          </a:prstGeom>
                          <a:ln>
                            <a:tailEnd type="arrow" w="med" len="med"/>
                          </a:ln>
                        </wps:spPr>
                        <wps:style>
                          <a:lnRef idx="2">
                            <a:schemeClr val="dk1"/>
                          </a:lnRef>
                          <a:fillRef idx="0">
                            <a:schemeClr val="dk1"/>
                          </a:fillRef>
                          <a:effectRef idx="1">
                            <a:schemeClr val="dk1"/>
                          </a:effectRef>
                          <a:fontRef idx="minor">
                            <a:schemeClr val="tx1"/>
                          </a:fontRef>
                        </wps:style>
                        <wps:bodyPr/>
                      </wps:wsp>
                      <wps:wsp>
                        <wps:cNvPr id="27" name="肘形连接符 27"/>
                        <wps:cNvCnPr>
                          <a:endCxn id="23" idx="0"/>
                        </wps:cNvCnPr>
                        <wps:spPr>
                          <a:xfrm>
                            <a:off x="7788" y="139850"/>
                            <a:ext cx="2370" cy="455"/>
                          </a:xfrm>
                          <a:prstGeom prst="bentConnector2">
                            <a:avLst/>
                          </a:prstGeom>
                          <a:ln>
                            <a:tailEnd type="arrow" w="med" len="med"/>
                          </a:ln>
                        </wps:spPr>
                        <wps:style>
                          <a:lnRef idx="2">
                            <a:schemeClr val="dk1"/>
                          </a:lnRef>
                          <a:fillRef idx="0">
                            <a:schemeClr val="dk1"/>
                          </a:fillRef>
                          <a:effectRef idx="1">
                            <a:schemeClr val="dk1"/>
                          </a:effectRef>
                          <a:fontRef idx="minor">
                            <a:schemeClr val="tx1"/>
                          </a:fontRef>
                        </wps:style>
                        <wps:bodyPr/>
                      </wps:wsp>
                    </wpg:wgp>
                  </a:graphicData>
                </a:graphic>
              </wp:anchor>
            </w:drawing>
          </mc:Choice>
          <mc:Fallback>
            <w:pict>
              <v:group id="_x0000_s1026" o:spid="_x0000_s1026" o:spt="203" style="position:absolute;left:0pt;margin-left:85.7pt;margin-top:5.3pt;height:109.7pt;width:293.4pt;z-index:251667456;mso-width-relative:page;mso-height-relative:page;" coordorigin="4944,138781" coordsize="5868,2194" o:gfxdata="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">
                <o:lock v:ext="edit" aspectratio="f"/>
                <v:roundrect id="_x0000_s1026" o:spid="_x0000_s1026" o:spt="2" style="position:absolute;left:5976;top:138781;height:635;width:3635;v-text-anchor:middle;" fillcolor="#FFFFFF [3201]" filled="t" stroked="t" coordsize="21600,21600" arcsize="0.166666666666667" o:gfxdata="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7kfji5AAAA2wAA&#10;AA8AAAAAAAAAAQAgAAAAIgAAAGRycy9kb3ducmV2LnhtbFBLAQIUABQAAAAIAIdO4kAzLwWeOwAA&#10;ADkAAAAQAAAAAAAAAAEAIAAAAAgBAABkcnMvc2hhcGV4bWwueG1sUEsFBgAAAAAGAAYAWwEAALID&#10;AAAAAA==&#10;">
                  <v:fill on="t" focussize="0,0"/>
                  <v:stroke weight="1pt" color="#000000 [32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lang w:val="en-US" w:eastAsia="zh-CN"/>
                          </w:rPr>
                        </w:pPr>
                        <w:r>
                          <w:rPr>
                            <w:rFonts w:hint="eastAsia"/>
                            <w:b/>
                            <w:bCs/>
                            <w:lang w:val="en-US" w:eastAsia="zh-CN"/>
                          </w:rPr>
                          <w:t>绕城高速公路扩能工程管理处</w:t>
                        </w:r>
                        <w:r>
                          <w:rPr>
                            <w:rFonts w:hint="eastAsia"/>
                            <w:lang w:val="en-US" w:eastAsia="zh-CN"/>
                          </w:rPr>
                          <w:t xml:space="preserve"> </w:t>
                        </w:r>
                      </w:p>
                    </w:txbxContent>
                  </v:textbox>
                </v:roundrect>
                <v:roundrect id="_x0000_s1026" o:spid="_x0000_s1026" o:spt="2" style="position:absolute;left:4944;top:140317;height:635;width:1308;v-text-anchor:middle;" fillcolor="#FFFFFF [3201]" filled="t" stroked="t" coordsize="21600,21600" arcsize="0.166666666666667" o:gfxdata="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ajbo7sAAADb&#10;AAAADwAAAAAAAAABACAAAAAiAAAAZHJzL2Rvd25yZXYueG1sUEsBAhQAFAAAAAgAh07iQDMvBZ47&#10;AAAAOQAAABAAAAAAAAAAAQAgAAAACgEAAGRycy9zaGFwZXhtbC54bWxQSwUGAAAAAAYABgBbAQAA&#10;tAMAAAAA&#10;">
                  <v:fill on="t" focussize="0,0"/>
                  <v:stroke weight="1pt" color="#000000 [32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b/>
                            <w:bCs/>
                            <w:lang w:val="en-US" w:eastAsia="zh-CN"/>
                          </w:rPr>
                        </w:pPr>
                        <w:r>
                          <w:rPr>
                            <w:rFonts w:hint="eastAsia"/>
                            <w:b/>
                            <w:bCs/>
                            <w:lang w:val="en-US" w:eastAsia="zh-CN"/>
                          </w:rPr>
                          <w:t>办公室</w:t>
                        </w:r>
                      </w:p>
                    </w:txbxContent>
                  </v:textbox>
                </v:roundrect>
                <v:roundrect id="_x0000_s1026" o:spid="_x0000_s1026" o:spt="2" style="position:absolute;left:7236;top:140341;height:635;width:1308;v-text-anchor:middle;" fillcolor="#FFFFFF [3201]" filled="t" stroked="t" coordsize="21600,21600" arcsize="0.166666666666667" o:gfxdata="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F6RdS8AAAA&#10;2wAAAA8AAAAAAAAAAQAgAAAAIgAAAGRycy9kb3ducmV2LnhtbFBLAQIUABQAAAAIAIdO4kAzLwWe&#10;OwAAADkAAAAQAAAAAAAAAAEAIAAAAAsBAABkcnMvc2hhcGV4bWwueG1sUEsFBgAAAAAGAAYAWwEA&#10;ALUDAAAAAA==&#10;">
                  <v:fill on="t" focussize="0,0"/>
                  <v:stroke weight="1pt" color="#000000 [32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b/>
                            <w:bCs/>
                            <w:lang w:val="en-US" w:eastAsia="zh-CN"/>
                          </w:rPr>
                        </w:pPr>
                        <w:r>
                          <w:rPr>
                            <w:rFonts w:hint="eastAsia"/>
                            <w:b/>
                            <w:bCs/>
                            <w:lang w:val="en-US" w:eastAsia="zh-CN"/>
                          </w:rPr>
                          <w:t>财务科</w:t>
                        </w:r>
                      </w:p>
                    </w:txbxContent>
                  </v:textbox>
                </v:roundrect>
                <v:roundrect id="_x0000_s1026" o:spid="_x0000_s1026" o:spt="2" style="position:absolute;left:9504;top:140305;height:635;width:1308;v-text-anchor:middle;" fillcolor="#FFFFFF [3201]" filled="t" stroked="t" coordsize="21600,21600" arcsize="0.166666666666667" o:gfxdata="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jbgT7sAAADb&#10;AAAADwAAAAAAAAABACAAAAAiAAAAZHJzL2Rvd25yZXYueG1sUEsBAhQAFAAAAAgAh07iQDMvBZ47&#10;AAAAOQAAABAAAAAAAAAAAQAgAAAACgEAAGRycy9zaGFwZXhtbC54bWxQSwUGAAAAAAYABgBbAQAA&#10;tAMAAAAA&#10;">
                  <v:fill on="t" focussize="0,0"/>
                  <v:stroke weight="1pt" color="#000000 [3200]" miterlimit="8" joinstyle="miter"/>
                  <v:imagedata o:title=""/>
                  <o:lock v:ext="edit" aspectratio="f"/>
                  <v:textbox>
                    <w:txbxContent>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b/>
                            <w:bCs/>
                            <w:lang w:val="en-US" w:eastAsia="zh-CN"/>
                          </w:rPr>
                        </w:pPr>
                        <w:r>
                          <w:rPr>
                            <w:rFonts w:hint="eastAsia"/>
                            <w:b/>
                            <w:bCs/>
                            <w:lang w:val="en-US" w:eastAsia="zh-CN"/>
                          </w:rPr>
                          <w:t>工程科</w:t>
                        </w:r>
                      </w:p>
                    </w:txbxContent>
                  </v:textbox>
                </v:roundrect>
                <v:shape id="_x0000_s1026" o:spid="_x0000_s1026" o:spt="32" type="#_x0000_t32" style="position:absolute;left:7794;top:139416;height:926;width:0;" filled="f" stroked="t" coordsize="21600,21600" o:gfxdata="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W4kOa8AAAA&#10;2wAAAA8AAAAAAAAAAQAgAAAAIgAAAGRycy9kb3ducmV2LnhtbFBLAQIUABQAAAAIAIdO4kAzLwWe&#10;OwAAADkAAAAQAAAAAAAAAAEAIAAAAAsBAABkcnMvc2hhcGV4bWwueG1sUEsFBgAAAAAGAAYAWwEA&#10;ALUDAAAAAA==&#10;">
                  <v:fill on="f" focussize="0,0"/>
                  <v:stroke weight="1pt" color="#000000 [3200]" miterlimit="8" joinstyle="miter" endarrow="open"/>
                  <v:imagedata o:title=""/>
                  <o:lock v:ext="edit" aspectratio="f"/>
                </v:shape>
                <v:shape id="_x0000_s1026" o:spid="_x0000_s1026" o:spt="33" type="#_x0000_t33" style="position:absolute;left:5598;top:139837;flip:y;height:479;width:2178;rotation:11796480f;" filled="f" stroked="t" coordsize="21600,21600" o:gfxdata="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nGfFy5AAAA2wAA&#10;AA8AAAAAAAAAAQAgAAAAIgAAAGRycy9kb3ducmV2LnhtbFBLAQIUABQAAAAIAIdO4kAzLwWeOwAA&#10;ADkAAAAQAAAAAAAAAAEAIAAAAAgBAABkcnMvc2hhcGV4bWwueG1sUEsFBgAAAAAGAAYAWwEAALID&#10;AAAAAA==&#10;">
                  <v:fill on="f" focussize="0,0"/>
                  <v:stroke weight="1pt" color="#000000 [3200]" miterlimit="8" joinstyle="miter" endarrow="open"/>
                  <v:imagedata o:title=""/>
                  <o:lock v:ext="edit" aspectratio="f"/>
                </v:shape>
                <v:shape id="_x0000_s1026" o:spid="_x0000_s1026" o:spt="33" type="#_x0000_t33" style="position:absolute;left:7788;top:139850;height:455;width:2370;" filled="f" stroked="t" coordsize="21600,21600" o:gfxdata="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0NloK8AAAA&#10;2wAAAA8AAAAAAAAAAQAgAAAAIgAAAGRycy9kb3ducmV2LnhtbFBLAQIUABQAAAAIAIdO4kAzLwWe&#10;OwAAADkAAAAQAAAAAAAAAAEAIAAAAAsBAABkcnMvc2hhcGV4bWwueG1sUEsFBgAAAAAGAAYAWwEA&#10;ALUDAAAAAA==&#10;">
                  <v:fill on="f" focussize="0,0"/>
                  <v:stroke weight="1pt" color="#000000 [3200]" miterlimit="8" joinstyle="miter" endarrow="open"/>
                  <v:imagedata o:title=""/>
                  <o:lock v:ext="edit" aspectratio="f"/>
                </v:shape>
              </v:group>
            </w:pict>
          </mc:Fallback>
        </mc:AlternateContent>
      </w:r>
    </w:p>
    <w:p>
      <w:pPr>
        <w:snapToGrid w:val="0"/>
        <w:ind w:firstLine="482"/>
        <w:jc w:val="center"/>
        <w:rPr>
          <w:rStyle w:val="57"/>
          <w:color w:val="000000" w:themeColor="text1"/>
          <w:highlight w:val="none"/>
          <w14:textFill>
            <w14:solidFill>
              <w14:schemeClr w14:val="tx1"/>
            </w14:solidFill>
          </w14:textFill>
        </w:rPr>
      </w:pPr>
    </w:p>
    <w:p>
      <w:pPr>
        <w:snapToGrid w:val="0"/>
        <w:ind w:firstLine="482"/>
        <w:jc w:val="center"/>
        <w:rPr>
          <w:rStyle w:val="57"/>
          <w:color w:val="000000" w:themeColor="text1"/>
          <w:highlight w:val="none"/>
          <w14:textFill>
            <w14:solidFill>
              <w14:schemeClr w14:val="tx1"/>
            </w14:solidFill>
          </w14:textFill>
        </w:rPr>
      </w:pPr>
    </w:p>
    <w:p>
      <w:pPr>
        <w:snapToGrid w:val="0"/>
        <w:ind w:firstLine="482"/>
        <w:jc w:val="center"/>
        <w:rPr>
          <w:rStyle w:val="57"/>
          <w:color w:val="000000" w:themeColor="text1"/>
          <w:highlight w:val="none"/>
          <w14:textFill>
            <w14:solidFill>
              <w14:schemeClr w14:val="tx1"/>
            </w14:solidFill>
          </w14:textFill>
        </w:rPr>
      </w:pPr>
    </w:p>
    <w:p>
      <w:pPr>
        <w:snapToGrid w:val="0"/>
        <w:ind w:firstLine="482"/>
        <w:jc w:val="center"/>
        <w:rPr>
          <w:rStyle w:val="57"/>
          <w:color w:val="000000" w:themeColor="text1"/>
          <w:highlight w:val="none"/>
          <w14:textFill>
            <w14:solidFill>
              <w14:schemeClr w14:val="tx1"/>
            </w14:solidFill>
          </w14:textFill>
        </w:rPr>
      </w:pPr>
    </w:p>
    <w:p>
      <w:pPr>
        <w:snapToGrid w:val="0"/>
        <w:ind w:firstLine="482"/>
        <w:jc w:val="center"/>
        <w:rPr>
          <w:rStyle w:val="57"/>
          <w:color w:val="000000" w:themeColor="text1"/>
          <w:highlight w:val="none"/>
          <w14:textFill>
            <w14:solidFill>
              <w14:schemeClr w14:val="tx1"/>
            </w14:solidFill>
          </w14:textFill>
        </w:rPr>
      </w:pPr>
    </w:p>
    <w:p>
      <w:pPr>
        <w:snapToGrid w:val="0"/>
        <w:ind w:firstLine="482"/>
        <w:jc w:val="center"/>
        <w:rPr>
          <w:color w:val="000000" w:themeColor="text1"/>
          <w:sz w:val="22"/>
          <w:szCs w:val="24"/>
          <w:highlight w:val="none"/>
          <w14:textFill>
            <w14:solidFill>
              <w14:schemeClr w14:val="tx1"/>
            </w14:solidFill>
          </w14:textFill>
        </w:rPr>
      </w:pPr>
      <w:r>
        <w:rPr>
          <w:rStyle w:val="57"/>
          <w:color w:val="000000" w:themeColor="text1"/>
          <w:sz w:val="22"/>
          <w:szCs w:val="20"/>
          <w:highlight w:val="none"/>
          <w14:textFill>
            <w14:solidFill>
              <w14:schemeClr w14:val="tx1"/>
            </w14:solidFill>
          </w14:textFill>
        </w:rPr>
        <w:t xml:space="preserve">图3-1  </w:t>
      </w:r>
      <w:r>
        <w:rPr>
          <w:rStyle w:val="57"/>
          <w:rFonts w:hint="eastAsia"/>
          <w:color w:val="000000" w:themeColor="text1"/>
          <w:sz w:val="22"/>
          <w:szCs w:val="20"/>
          <w:highlight w:val="none"/>
          <w:lang w:eastAsia="zh-CN"/>
          <w14:textFill>
            <w14:solidFill>
              <w14:schemeClr w14:val="tx1"/>
            </w14:solidFill>
          </w14:textFill>
        </w:rPr>
        <w:t>陕西交控集团绕城高速公路扩能工程管理处</w:t>
      </w:r>
      <w:r>
        <w:rPr>
          <w:rStyle w:val="57"/>
          <w:color w:val="000000" w:themeColor="text1"/>
          <w:sz w:val="22"/>
          <w:szCs w:val="20"/>
          <w:highlight w:val="none"/>
          <w14:textFill>
            <w14:solidFill>
              <w14:schemeClr w14:val="tx1"/>
            </w14:solidFill>
          </w14:textFill>
        </w:rPr>
        <w:t>组织机构框架图</w:t>
      </w:r>
    </w:p>
    <w:p>
      <w:pPr>
        <w:pStyle w:val="11"/>
        <w:ind w:firstLine="562"/>
        <w:rPr>
          <w:rFonts w:eastAsia="仿宋"/>
          <w:color w:val="000000" w:themeColor="text1"/>
          <w14:textFill>
            <w14:solidFill>
              <w14:schemeClr w14:val="tx1"/>
            </w14:solidFill>
          </w14:textFill>
        </w:rPr>
      </w:pPr>
      <w:r>
        <w:rPr>
          <w:rFonts w:eastAsia="仿宋"/>
          <w:color w:val="000000" w:themeColor="text1"/>
          <w14:textFill>
            <w14:solidFill>
              <w14:schemeClr w14:val="tx1"/>
            </w14:solidFill>
          </w14:textFill>
        </w:rPr>
        <w:t>3.1.2 工程基本信息</w:t>
      </w:r>
    </w:p>
    <w:p>
      <w:pPr>
        <w:ind w:firstLine="56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西安绕城高速公路通行能力提升工程为省、市共建项目，由西咸新区和西安市负责征地拆迁及其相关费用，陕西省交通集团负责工程建设并承担建设费用（改革重组后隶属陕西交通控股集团有限公司）。主要内容为：在绕城上新建西咸立交（属西咸新区）和丈八、雁塔</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金花</w:t>
      </w:r>
      <w:r>
        <w:rPr>
          <w:rFonts w:hint="eastAsia"/>
          <w:color w:val="000000" w:themeColor="text1"/>
          <w:lang w:val="en-US" w:eastAsia="zh-CN"/>
          <w14:textFill>
            <w14:solidFill>
              <w14:schemeClr w14:val="tx1"/>
            </w14:solidFill>
          </w14:textFill>
        </w:rPr>
        <w:t>4</w:t>
      </w:r>
      <w:r>
        <w:rPr>
          <w:rFonts w:hint="eastAsia"/>
          <w:color w:val="000000" w:themeColor="text1"/>
          <w14:textFill>
            <w14:solidFill>
              <w14:schemeClr w14:val="tx1"/>
            </w14:solidFill>
          </w14:textFill>
        </w:rPr>
        <w:t>个立交，完善田王立交，扩建西高新、曲江两个收费站，增设灞桥、阿房宫（属西咸新区）两个服务区，在机场专用高速公路新建秦汉立交（属西咸新区）。</w:t>
      </w:r>
    </w:p>
    <w:p>
      <w:pPr>
        <w:ind w:firstLine="560"/>
        <w:rPr>
          <w:rFonts w:hint="eastAsia"/>
          <w:color w:val="000000" w:themeColor="text1"/>
          <w14:textFill>
            <w14:solidFill>
              <w14:schemeClr w14:val="tx1"/>
            </w14:solidFill>
          </w14:textFill>
        </w:rPr>
      </w:pPr>
      <w:r>
        <w:rPr>
          <w:rFonts w:hint="eastAsia"/>
          <w:color w:val="000000" w:themeColor="text1"/>
          <w14:textFill>
            <w14:solidFill>
              <w14:schemeClr w14:val="tx1"/>
            </w14:solidFill>
          </w14:textFill>
        </w:rPr>
        <w:t>工程于2016年9月正式开工建设，其中2015年10月曲江收费站扩建工程建成运行；2017年1月雁塔路互通式立交通车；2019年10月西高新收费站扩建工程建成运行；2020年8月丈八四路互通式立交建成通车；2021年8月田王互通式立交建成通车</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建设中由于杜陵遗址文物保护原因取消金花路互通式立交建设；由于城市规划和征地拆迁等因素阿房宫服务区尚未开工建设；灞桥服务区外幅尚未开工建设。</w:t>
      </w:r>
    </w:p>
    <w:p>
      <w:pPr>
        <w:ind w:firstLine="482" w:firstLineChars="200"/>
        <w:rPr>
          <w:rFonts w:hint="eastAsia"/>
          <w:b/>
          <w:bCs/>
        </w:rPr>
      </w:pPr>
      <w:r>
        <w:rPr>
          <w:rFonts w:hint="eastAsia"/>
          <w:b/>
          <w:bCs/>
          <w:lang w:eastAsia="zh-CN"/>
        </w:rPr>
        <w:t>（</w:t>
      </w:r>
      <w:r>
        <w:rPr>
          <w:rFonts w:hint="eastAsia"/>
          <w:b/>
          <w:bCs/>
          <w:lang w:val="en-US" w:eastAsia="zh-CN"/>
        </w:rPr>
        <w:t>1</w:t>
      </w:r>
      <w:r>
        <w:rPr>
          <w:rFonts w:hint="eastAsia"/>
          <w:b/>
          <w:bCs/>
          <w:lang w:eastAsia="zh-CN"/>
        </w:rPr>
        <w:t>）</w:t>
      </w:r>
      <w:r>
        <w:rPr>
          <w:rFonts w:hint="eastAsia"/>
          <w:b/>
          <w:bCs/>
        </w:rPr>
        <w:t>雁塔路立交</w:t>
      </w:r>
      <w:r>
        <w:rPr>
          <w:rFonts w:hint="eastAsia"/>
          <w:b/>
          <w:bCs/>
          <w:lang w:eastAsia="zh-CN"/>
        </w:rPr>
        <w:t>（</w:t>
      </w:r>
      <w:r>
        <w:rPr>
          <w:rFonts w:hint="eastAsia"/>
          <w:b/>
          <w:bCs/>
          <w:lang w:val="en-US" w:eastAsia="zh-CN"/>
        </w:rPr>
        <w:t>新建</w:t>
      </w:r>
      <w:r>
        <w:rPr>
          <w:rFonts w:hint="eastAsia"/>
          <w:b/>
          <w:bCs/>
          <w:lang w:eastAsia="zh-CN"/>
        </w:rPr>
        <w:t>）</w:t>
      </w:r>
    </w:p>
    <w:p>
      <w:pPr>
        <w:ind w:firstLine="560"/>
        <w:rPr>
          <w:rFonts w:hint="eastAsia"/>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雁塔路立交位于西安市雁塔南路与西安绕城高速南段交汇处，西距长安立交 1.7km，东距曲江立交 3.9km 处。采用半菱形立交</w:t>
      </w:r>
      <w:r>
        <w:rPr>
          <w:rFonts w:hint="eastAsia"/>
          <w:color w:val="000000" w:themeColor="text1"/>
          <w:lang w:val="en-US" w:eastAsia="zh-CN"/>
          <w14:textFill>
            <w14:solidFill>
              <w14:schemeClr w14:val="tx1"/>
            </w14:solidFill>
          </w14:textFill>
        </w:rPr>
        <w:t>方案，设置4条匝道，均采用单向单车道。主线设计速度为120 公里/小时，匝道设计速度为50公里/小时。主线路基宽度为35米，匝道路基宽度为9.0米。主线拼宽全长2226. 4m，匝道全长2630. 7m。其中，主线单侧加宽桥422.332m/7座，新建匝道桥667. 51m/4座。立交总占地264. 58亩。立交南北侧共设置两处收费站，共11个车道。其中，北侧设4个入口车道(2个ETC车道)，南侧设7个出口车道(3个ETC车道)。本立交禁止货车通行。</w:t>
      </w:r>
    </w:p>
    <w:p>
      <w:pPr>
        <w:ind w:firstLine="480" w:firstLineChars="200"/>
        <w:rPr>
          <w:rFonts w:hint="eastAsia"/>
          <w:b/>
          <w:bCs/>
        </w:rPr>
      </w:pPr>
      <w:r>
        <w:rPr>
          <w:rFonts w:hint="eastAsia"/>
          <w:lang w:eastAsia="zh-CN"/>
        </w:rPr>
        <w:t>（</w:t>
      </w:r>
      <w:r>
        <w:rPr>
          <w:rFonts w:hint="eastAsia"/>
          <w:lang w:val="en-US" w:eastAsia="zh-CN"/>
        </w:rPr>
        <w:t>2</w:t>
      </w:r>
      <w:r>
        <w:rPr>
          <w:rFonts w:hint="eastAsia"/>
          <w:lang w:eastAsia="zh-CN"/>
        </w:rPr>
        <w:t>）</w:t>
      </w:r>
      <w:r>
        <w:rPr>
          <w:rFonts w:hint="eastAsia"/>
          <w:b/>
          <w:bCs/>
        </w:rPr>
        <w:t>丈八四路立交</w:t>
      </w:r>
      <w:r>
        <w:rPr>
          <w:rFonts w:hint="eastAsia"/>
          <w:b/>
          <w:bCs/>
          <w:lang w:eastAsia="zh-CN"/>
        </w:rPr>
        <w:t>（</w:t>
      </w:r>
      <w:r>
        <w:rPr>
          <w:rFonts w:hint="eastAsia"/>
          <w:b/>
          <w:bCs/>
          <w:lang w:val="en-US" w:eastAsia="zh-CN"/>
        </w:rPr>
        <w:t>新建</w:t>
      </w:r>
      <w:r>
        <w:rPr>
          <w:rFonts w:hint="eastAsia"/>
          <w:b/>
          <w:bCs/>
          <w:lang w:eastAsia="zh-CN"/>
        </w:rPr>
        <w:t>）</w:t>
      </w:r>
    </w:p>
    <w:p>
      <w:pPr>
        <w:ind w:firstLine="560"/>
        <w:rPr>
          <w:rFonts w:hint="default" w:ascii="Times New Roman" w:hAnsi="Times New Roman" w:cs="Times New Roman"/>
          <w:color w:val="000000" w:themeColor="text1"/>
          <w:sz w:val="24"/>
          <w:szCs w:val="24"/>
          <w:lang w:val="en-US" w:eastAsia="zh-CN"/>
          <w14:textFill>
            <w14:solidFill>
              <w14:schemeClr w14:val="tx1"/>
            </w14:solidFill>
          </w14:textFill>
        </w:rPr>
      </w:pP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丈八四路立交位于丈八四路与西安绕城高速公路南段的交汇处</w:t>
      </w:r>
      <w:r>
        <w:rPr>
          <w:rFonts w:hint="eastAsia" w:ascii="Times New Roman" w:hAnsi="Times New Roman" w:cs="Times New Roman"/>
          <w:b w:val="0"/>
          <w:bCs w:val="0"/>
          <w:color w:val="000000" w:themeColor="text1"/>
          <w:sz w:val="24"/>
          <w:szCs w:val="24"/>
          <w:lang w:val="en-US" w:eastAsia="zh-CN"/>
          <w14:textFill>
            <w14:solidFill>
              <w14:schemeClr w14:val="tx1"/>
            </w14:solidFill>
          </w14:textFill>
        </w:rPr>
        <w:t>，西距河池寨立交 4.1km（净距 2.6km），东距西高新立交2.4km。</w:t>
      </w:r>
      <w:r>
        <w:rPr>
          <w:rFonts w:hint="default" w:ascii="Times New Roman" w:hAnsi="Times New Roman" w:cs="Times New Roman"/>
          <w:b w:val="0"/>
          <w:bCs w:val="0"/>
          <w:color w:val="000000" w:themeColor="text1"/>
          <w:sz w:val="24"/>
          <w:szCs w:val="24"/>
          <w:lang w:val="en-US" w:eastAsia="zh-CN"/>
          <w14:textFill>
            <w14:solidFill>
              <w14:schemeClr w14:val="tx1"/>
            </w14:solidFill>
          </w14:textFill>
        </w:rPr>
        <w:t>采用变异菱形立</w:t>
      </w:r>
      <w:r>
        <w:rPr>
          <w:rFonts w:hint="default" w:ascii="Times New Roman" w:hAnsi="Times New Roman" w:cs="Times New Roman"/>
          <w:color w:val="000000" w:themeColor="text1"/>
          <w:sz w:val="24"/>
          <w:szCs w:val="24"/>
          <w:lang w:val="en-US" w:eastAsia="zh-CN"/>
          <w14:textFill>
            <w14:solidFill>
              <w14:schemeClr w14:val="tx1"/>
            </w14:solidFill>
          </w14:textFill>
        </w:rPr>
        <w:t>交方案，设置11条匝道，采用单向单车道、双车道。主线设计速度为120公里/小时，匝道设计速度为60公里/小时。主线路基宽度为35米，匝道单车道路基宽度为7.0米、9.0米，双车道路基宽度10.5米。桥梁荷载等级为公路-I级。</w:t>
      </w:r>
    </w:p>
    <w:p>
      <w:pPr>
        <w:ind w:firstLine="482" w:firstLineChars="200"/>
        <w:rPr>
          <w:rFonts w:hint="eastAsia"/>
          <w:b/>
          <w:bCs/>
        </w:rPr>
      </w:pPr>
      <w:r>
        <w:rPr>
          <w:rFonts w:hint="eastAsia"/>
          <w:b/>
          <w:bCs/>
          <w:lang w:val="en-US" w:eastAsia="zh-CN"/>
        </w:rPr>
        <w:t>（3）</w:t>
      </w:r>
      <w:r>
        <w:rPr>
          <w:rFonts w:hint="eastAsia"/>
          <w:b/>
          <w:bCs/>
        </w:rPr>
        <w:t>田王立交</w:t>
      </w:r>
      <w:r>
        <w:rPr>
          <w:rFonts w:hint="eastAsia"/>
          <w:b/>
          <w:bCs/>
          <w:lang w:eastAsia="zh-CN"/>
        </w:rPr>
        <w:t>（</w:t>
      </w:r>
      <w:r>
        <w:rPr>
          <w:rFonts w:hint="eastAsia"/>
          <w:b/>
          <w:bCs/>
          <w:lang w:val="en-US" w:eastAsia="zh-CN"/>
        </w:rPr>
        <w:t>改扩建</w:t>
      </w:r>
      <w:r>
        <w:rPr>
          <w:rFonts w:hint="eastAsia"/>
          <w:b/>
          <w:bCs/>
          <w:lang w:eastAsia="zh-CN"/>
        </w:rPr>
        <w:t>）</w:t>
      </w:r>
    </w:p>
    <w:p>
      <w:pPr>
        <w:ind w:firstLine="560"/>
        <w:rPr>
          <w:rFonts w:hint="default" w:ascii="Times New Roman" w:hAnsi="Times New Roman" w:cs="Times New Roman"/>
          <w:color w:val="000000" w:themeColor="text1"/>
          <w:sz w:val="24"/>
          <w:szCs w:val="24"/>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田王互通式立交位于灞河东岸，南距香王立交2.5公里，北距方家村立交2.0公</w:t>
      </w:r>
      <w:r>
        <w:rPr>
          <w:rFonts w:hint="eastAsia"/>
          <w:color w:val="000000" w:themeColor="text1"/>
          <w:lang w:val="en-US" w:eastAsia="zh-CN"/>
          <w14:textFill>
            <w14:solidFill>
              <w14:schemeClr w14:val="tx1"/>
            </w14:solidFill>
          </w14:textFill>
        </w:rPr>
        <w:t>里。采用半苜蓿叶立交方案，共设置4条匝道，主线1968m，匝道全长1961. 678m，与绕城主线拼宽全长330. 5m。立交设1处收费站。新建主线桥1313m/1座，匝道桥1458. 26m/5座，涵洞4道。</w:t>
      </w:r>
      <w:r>
        <w:rPr>
          <w:rFonts w:hint="default" w:ascii="Times New Roman" w:hAnsi="Times New Roman" w:cs="Times New Roman"/>
          <w:color w:val="000000" w:themeColor="text1"/>
          <w:sz w:val="24"/>
          <w:szCs w:val="24"/>
          <w:lang w:val="en-US" w:eastAsia="zh-CN"/>
          <w14:textFill>
            <w14:solidFill>
              <w14:schemeClr w14:val="tx1"/>
            </w14:solidFill>
          </w14:textFill>
        </w:rPr>
        <w:t>设计车速100km/h， 匝道设计车速40 ~ 60km/h。</w:t>
      </w:r>
    </w:p>
    <w:p>
      <w:pPr>
        <w:numPr>
          <w:ilvl w:val="0"/>
          <w:numId w:val="0"/>
        </w:numPr>
        <w:ind w:leftChars="200"/>
        <w:rPr>
          <w:rFonts w:hint="eastAsia" w:ascii="Times New Roman" w:hAnsi="Times New Roman"/>
          <w:b/>
          <w:bCs/>
          <w:lang w:val="en-US" w:eastAsia="zh-CN"/>
        </w:rPr>
      </w:pPr>
      <w:r>
        <w:rPr>
          <w:rFonts w:hint="eastAsia" w:ascii="Times New Roman" w:hAnsi="Times New Roman"/>
          <w:b/>
          <w:bCs/>
          <w:lang w:val="en-US" w:eastAsia="zh-CN"/>
        </w:rPr>
        <w:t>（4）曲江收费站（扩建）</w:t>
      </w:r>
    </w:p>
    <w:p>
      <w:pPr>
        <w:ind w:firstLine="480" w:firstLineChars="200"/>
        <w:rPr>
          <w:rFonts w:hint="eastAsia"/>
          <w:color w:val="auto"/>
        </w:rPr>
      </w:pPr>
      <w:r>
        <w:rPr>
          <w:rFonts w:hint="eastAsia"/>
          <w:color w:val="auto"/>
        </w:rPr>
        <w:t>由目前的6进9出15个车道改为8进11出19个车道。</w:t>
      </w:r>
    </w:p>
    <w:p>
      <w:pPr>
        <w:numPr>
          <w:ilvl w:val="0"/>
          <w:numId w:val="3"/>
        </w:numPr>
        <w:ind w:left="0" w:leftChars="0" w:firstLine="482" w:firstLineChars="200"/>
        <w:rPr>
          <w:rFonts w:hint="eastAsia" w:ascii="Times New Roman" w:hAnsi="Times New Roman"/>
          <w:b/>
          <w:bCs/>
          <w:lang w:val="en-US" w:eastAsia="zh-CN"/>
        </w:rPr>
      </w:pPr>
      <w:r>
        <w:rPr>
          <w:rFonts w:hint="eastAsia" w:ascii="Times New Roman" w:hAnsi="Times New Roman"/>
          <w:b/>
          <w:bCs/>
          <w:lang w:val="en-US" w:eastAsia="zh-CN"/>
        </w:rPr>
        <w:t>西高新收费站（扩建）</w:t>
      </w:r>
    </w:p>
    <w:p>
      <w:pPr>
        <w:ind w:firstLine="480" w:firstLineChars="200"/>
        <w:rPr>
          <w:rFonts w:hint="default" w:ascii="Times New Roman" w:hAnsi="Times New Roman" w:cs="Times New Roman"/>
          <w:color w:val="auto"/>
        </w:rPr>
      </w:pPr>
      <w:r>
        <w:rPr>
          <w:rFonts w:hint="default" w:ascii="Times New Roman" w:hAnsi="Times New Roman" w:cs="Times New Roman"/>
          <w:color w:val="auto"/>
        </w:rPr>
        <w:t>在原西高新收费站西侧增加7个车道，将原5入8出改造为8入12出共20个收费车道。</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工程基本情况见表3-1。</w:t>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 xml:space="preserve">表3-1  </w:t>
      </w:r>
      <w:r>
        <w:rPr>
          <w:rFonts w:hint="eastAsia"/>
          <w:sz w:val="21"/>
          <w:szCs w:val="21"/>
        </w:rPr>
        <w:t>西安绕城高速公路通行能力提升</w:t>
      </w:r>
      <w:r>
        <w:rPr>
          <w:color w:val="000000" w:themeColor="text1"/>
          <w:sz w:val="21"/>
          <w:szCs w:val="21"/>
          <w14:textFill>
            <w14:solidFill>
              <w14:schemeClr w14:val="tx1"/>
            </w14:solidFill>
          </w14:textFill>
        </w:rPr>
        <w:t>工程基本情况</w:t>
      </w:r>
    </w:p>
    <w:tbl>
      <w:tblPr>
        <w:tblStyle w:val="2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834"/>
        <w:gridCol w:w="1260"/>
        <w:gridCol w:w="685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rFonts w:ascii="Times New Roman" w:hAnsi="Times New Roman" w:eastAsia="仿宋" w:cs="Times New Roman"/>
                <w:b/>
                <w:bCs/>
                <w:color w:val="000000" w:themeColor="text1"/>
                <w:kern w:val="2"/>
                <w:sz w:val="21"/>
                <w:szCs w:val="21"/>
                <w:lang w:val="en-US" w:eastAsia="zh-CN" w:bidi="ar-SA"/>
                <w14:textFill>
                  <w14:solidFill>
                    <w14:schemeClr w14:val="tx1"/>
                  </w14:solidFill>
                </w14:textFill>
              </w:rPr>
            </w:pPr>
            <w:bookmarkStart w:id="66" w:name="_Hlk80458755"/>
            <w:r>
              <w:rPr>
                <w:b/>
                <w:bCs/>
                <w:color w:val="000000" w:themeColor="text1"/>
                <w:sz w:val="21"/>
                <w:szCs w:val="21"/>
                <w14:textFill>
                  <w14:solidFill>
                    <w14:schemeClr w14:val="tx1"/>
                  </w14:solidFill>
                </w14:textFill>
              </w:rPr>
              <w:t>序号</w:t>
            </w:r>
          </w:p>
        </w:tc>
        <w:tc>
          <w:tcPr>
            <w:tcW w:w="704" w:type="pct"/>
            <w:vAlign w:val="center"/>
          </w:tcPr>
          <w:p>
            <w:pPr>
              <w:spacing w:line="240" w:lineRule="auto"/>
              <w:ind w:firstLine="0" w:firstLineChars="0"/>
              <w:jc w:val="center"/>
              <w:rPr>
                <w:rFonts w:ascii="Times New Roman" w:hAnsi="Times New Roman" w:eastAsia="仿宋" w:cs="Times New Roman"/>
                <w:b/>
                <w:bCs/>
                <w:color w:val="000000" w:themeColor="text1"/>
                <w:kern w:val="2"/>
                <w:sz w:val="21"/>
                <w:szCs w:val="21"/>
                <w:lang w:val="en-US" w:eastAsia="zh-CN" w:bidi="ar-SA"/>
                <w14:textFill>
                  <w14:solidFill>
                    <w14:schemeClr w14:val="tx1"/>
                  </w14:solidFill>
                </w14:textFill>
              </w:rPr>
            </w:pPr>
            <w:r>
              <w:rPr>
                <w:b/>
                <w:bCs/>
                <w:color w:val="000000" w:themeColor="text1"/>
                <w:sz w:val="21"/>
                <w:szCs w:val="21"/>
                <w14:textFill>
                  <w14:solidFill>
                    <w14:schemeClr w14:val="tx1"/>
                  </w14:solidFill>
                </w14:textFill>
              </w:rPr>
              <w:t>名称</w:t>
            </w:r>
          </w:p>
        </w:tc>
        <w:tc>
          <w:tcPr>
            <w:tcW w:w="3829" w:type="pct"/>
            <w:vAlign w:val="center"/>
          </w:tcPr>
          <w:p>
            <w:pPr>
              <w:spacing w:line="240" w:lineRule="auto"/>
              <w:ind w:firstLine="562" w:firstLineChars="0"/>
              <w:jc w:val="center"/>
              <w:rPr>
                <w:rFonts w:ascii="Times New Roman" w:hAnsi="Times New Roman" w:eastAsia="仿宋" w:cs="Times New Roman"/>
                <w:b/>
                <w:bCs/>
                <w:color w:val="000000" w:themeColor="text1"/>
                <w:kern w:val="2"/>
                <w:sz w:val="21"/>
                <w:szCs w:val="21"/>
                <w:lang w:val="en-US" w:eastAsia="zh-CN" w:bidi="ar-SA"/>
                <w14:textFill>
                  <w14:solidFill>
                    <w14:schemeClr w14:val="tx1"/>
                  </w14:solidFill>
                </w14:textFill>
              </w:rPr>
            </w:pPr>
            <w:r>
              <w:rPr>
                <w:b/>
                <w:bCs/>
                <w:color w:val="000000" w:themeColor="text1"/>
                <w:sz w:val="21"/>
                <w:szCs w:val="21"/>
                <w14:textFill>
                  <w14:solidFill>
                    <w14:schemeClr w14:val="tx1"/>
                  </w14:solidFill>
                </w14:textFill>
              </w:rPr>
              <w:t>内容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项目组成</w:t>
            </w:r>
          </w:p>
        </w:tc>
        <w:tc>
          <w:tcPr>
            <w:tcW w:w="3829" w:type="pct"/>
            <w:vAlign w:val="center"/>
          </w:tcPr>
          <w:p>
            <w:pPr>
              <w:spacing w:line="240" w:lineRule="auto"/>
              <w:ind w:firstLine="560" w:firstLineChars="0"/>
              <w:jc w:val="both"/>
              <w:rPr>
                <w:sz w:val="21"/>
                <w:szCs w:val="21"/>
              </w:rPr>
            </w:pPr>
            <w:r>
              <w:rPr>
                <w:rFonts w:hint="eastAsia"/>
                <w:sz w:val="21"/>
                <w:szCs w:val="21"/>
              </w:rPr>
              <w:t>西安绕城高速公路通行能力提升工程工程包括增设雁塔路互通式立交、丈八四路互通式立交3处立交，并扩建田王互通式立交；扩建曲江和西高新收费站。</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建设工期</w:t>
            </w:r>
          </w:p>
        </w:tc>
        <w:tc>
          <w:tcPr>
            <w:tcW w:w="3829"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201</w:t>
            </w:r>
            <w:r>
              <w:rPr>
                <w:rFonts w:hint="eastAsia"/>
                <w:color w:val="000000" w:themeColor="text1"/>
                <w:sz w:val="21"/>
                <w:szCs w:val="21"/>
                <w:lang w:val="en-US" w:eastAsia="zh-CN"/>
                <w14:textFill>
                  <w14:solidFill>
                    <w14:schemeClr w14:val="tx1"/>
                  </w14:solidFill>
                </w14:textFill>
              </w:rPr>
              <w:t>6</w:t>
            </w:r>
            <w:r>
              <w:rPr>
                <w:color w:val="000000" w:themeColor="text1"/>
                <w:sz w:val="21"/>
                <w:szCs w:val="21"/>
                <w14:textFill>
                  <w14:solidFill>
                    <w14:schemeClr w14:val="tx1"/>
                  </w14:solidFill>
                </w14:textFill>
              </w:rPr>
              <w:t>年至202</w:t>
            </w:r>
            <w:r>
              <w:rPr>
                <w:rFonts w:hint="eastAsia"/>
                <w:color w:val="000000" w:themeColor="text1"/>
                <w:sz w:val="21"/>
                <w:szCs w:val="21"/>
                <w:lang w:val="en-US" w:eastAsia="zh-CN"/>
                <w14:textFill>
                  <w14:solidFill>
                    <w14:schemeClr w14:val="tx1"/>
                  </w14:solidFill>
                </w14:textFill>
              </w:rPr>
              <w:t>1</w:t>
            </w:r>
            <w:r>
              <w:rPr>
                <w:color w:val="000000" w:themeColor="text1"/>
                <w:sz w:val="21"/>
                <w:szCs w:val="21"/>
                <w14:textFill>
                  <w14:solidFill>
                    <w14:schemeClr w14:val="tx1"/>
                  </w14:solidFill>
                </w14:textFill>
              </w:rPr>
              <w:t>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建设单位</w:t>
            </w:r>
          </w:p>
        </w:tc>
        <w:tc>
          <w:tcPr>
            <w:tcW w:w="3829"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陕西交控集团绕城高速公路扩能工程管理处</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建设性质</w:t>
            </w:r>
          </w:p>
        </w:tc>
        <w:tc>
          <w:tcPr>
            <w:tcW w:w="3829" w:type="pct"/>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新建、改扩建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6</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环评单位</w:t>
            </w:r>
          </w:p>
        </w:tc>
        <w:tc>
          <w:tcPr>
            <w:tcW w:w="3829" w:type="pct"/>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长安大学</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7</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设计单位</w:t>
            </w:r>
          </w:p>
        </w:tc>
        <w:tc>
          <w:tcPr>
            <w:tcW w:w="3829" w:type="pct"/>
            <w:vAlign w:val="center"/>
          </w:tcPr>
          <w:p>
            <w:pPr>
              <w:spacing w:line="240" w:lineRule="auto"/>
              <w:ind w:firstLine="0" w:firstLineChars="0"/>
              <w:jc w:val="center"/>
              <w:rPr>
                <w:rFonts w:hint="default" w:eastAsia="仿宋"/>
                <w:color w:val="000000" w:themeColor="text1"/>
                <w:sz w:val="21"/>
                <w:szCs w:val="21"/>
                <w:lang w:val="en-US" w:eastAsia="zh-CN"/>
                <w14:textFill>
                  <w14:solidFill>
                    <w14:schemeClr w14:val="tx1"/>
                  </w14:solidFill>
                </w14:textFill>
              </w:rPr>
            </w:pPr>
            <w:r>
              <w:rPr>
                <w:color w:val="000000" w:themeColor="text1"/>
                <w:sz w:val="21"/>
                <w:szCs w:val="21"/>
                <w14:textFill>
                  <w14:solidFill>
                    <w14:schemeClr w14:val="tx1"/>
                  </w14:solidFill>
                </w14:textFill>
              </w:rPr>
              <w:t>陕西省交通规划设计研究院</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施工单位</w:t>
            </w:r>
          </w:p>
        </w:tc>
        <w:tc>
          <w:tcPr>
            <w:tcW w:w="3829" w:type="pct"/>
            <w:vAlign w:val="center"/>
          </w:tcPr>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陕西高速机械化工程有限公司</w:t>
            </w:r>
          </w:p>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陕西路桥集团有限公司</w:t>
            </w:r>
          </w:p>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广东飞达交通工程有限公司</w:t>
            </w:r>
          </w:p>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陕西交通电子工程科技有限公司</w:t>
            </w:r>
          </w:p>
          <w:p>
            <w:pPr>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陕西华萃路桥工程有限责任公司</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9</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工程</w:t>
            </w:r>
            <w:r>
              <w:rPr>
                <w:color w:val="000000" w:themeColor="text1"/>
                <w:sz w:val="21"/>
                <w:szCs w:val="21"/>
                <w14:textFill>
                  <w14:solidFill>
                    <w14:schemeClr w14:val="tx1"/>
                  </w14:solidFill>
                </w14:textFill>
              </w:rPr>
              <w:t>监理</w:t>
            </w:r>
          </w:p>
        </w:tc>
        <w:tc>
          <w:tcPr>
            <w:tcW w:w="3829" w:type="pct"/>
            <w:vAlign w:val="center"/>
          </w:tcPr>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陕西省交通工程咨询公司</w:t>
            </w:r>
          </w:p>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陕西利民公路工程咨询服务有限公司</w:t>
            </w:r>
          </w:p>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陕西省交通工程咨询公司</w:t>
            </w:r>
          </w:p>
          <w:p>
            <w:pPr>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陕西利民公路工程咨询服务有限公司</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w:t>
            </w:r>
          </w:p>
        </w:tc>
        <w:tc>
          <w:tcPr>
            <w:tcW w:w="704" w:type="pct"/>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环境监理</w:t>
            </w:r>
          </w:p>
        </w:tc>
        <w:tc>
          <w:tcPr>
            <w:tcW w:w="3829"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陕西众晟建设投资管理有限公司</w:t>
            </w:r>
          </w:p>
        </w:tc>
      </w:tr>
      <w:bookmarkEnd w:id="66"/>
    </w:tbl>
    <w:p>
      <w:pPr>
        <w:pStyle w:val="55"/>
        <w:rPr>
          <w:color w:val="000000" w:themeColor="text1"/>
          <w14:textFill>
            <w14:solidFill>
              <w14:schemeClr w14:val="tx1"/>
            </w14:solidFill>
          </w14:textFill>
        </w:rPr>
      </w:pPr>
    </w:p>
    <w:p>
      <w:pPr>
        <w:ind w:firstLine="482" w:firstLineChars="200"/>
        <w:rPr>
          <w:rFonts w:hint="default" w:ascii="Times New Roman" w:hAnsi="Times New Roman" w:cs="Times New Roman"/>
          <w:b/>
          <w:bCs/>
          <w:lang w:val="en-US" w:eastAsia="zh-CN"/>
        </w:rPr>
      </w:pPr>
      <w:r>
        <w:rPr>
          <w:rFonts w:hint="default" w:ascii="Times New Roman" w:hAnsi="Times New Roman" w:cs="Times New Roman"/>
          <w:b/>
          <w:bCs/>
          <w:lang w:val="en-US" w:eastAsia="zh-CN"/>
        </w:rPr>
        <w:t>西咸国际机场专用高速公路秦汉立交</w:t>
      </w:r>
    </w:p>
    <w:p>
      <w:pPr>
        <w:ind w:firstLine="560"/>
        <w:rPr>
          <w:rFonts w:hint="default" w:ascii="Times New Roman" w:hAnsi="Times New Roman" w:cs="Times New Roman"/>
          <w:b w:val="0"/>
          <w:bCs w:val="0"/>
          <w:color w:val="000000" w:themeColor="text1"/>
          <w:lang w:val="en-US" w:eastAsia="zh-CN"/>
          <w14:textFill>
            <w14:solidFill>
              <w14:schemeClr w14:val="tx1"/>
            </w14:solidFill>
          </w14:textFill>
        </w:rPr>
      </w:pPr>
      <w:r>
        <w:rPr>
          <w:rFonts w:hint="default" w:ascii="Times New Roman" w:hAnsi="Times New Roman" w:cs="Times New Roman"/>
          <w:b w:val="0"/>
          <w:bCs w:val="0"/>
          <w:color w:val="000000" w:themeColor="text1"/>
          <w:lang w:val="en-US" w:eastAsia="zh-CN"/>
          <w14:textFill>
            <w14:solidFill>
              <w14:schemeClr w14:val="tx1"/>
            </w14:solidFill>
          </w14:textFill>
        </w:rPr>
        <w:t>西咸机场专用高速公路秦汉立交位于秦汉新城中心承载地-渭河北岸综合服务区内，条匝道，总长2058. 308米</w:t>
      </w:r>
      <w:r>
        <w:rPr>
          <w:rFonts w:hint="eastAsia" w:cs="Times New Roman"/>
          <w:b w:val="0"/>
          <w:bCs w:val="0"/>
          <w:color w:val="000000" w:themeColor="text1"/>
          <w:lang w:val="en-US" w:eastAsia="zh-CN"/>
          <w14:textFill>
            <w14:solidFill>
              <w14:schemeClr w14:val="tx1"/>
            </w14:solidFill>
          </w14:textFill>
        </w:rPr>
        <w:t>。</w:t>
      </w:r>
      <w:r>
        <w:rPr>
          <w:rFonts w:hint="default" w:ascii="Times New Roman" w:hAnsi="Times New Roman" w:cs="Times New Roman"/>
          <w:b w:val="0"/>
          <w:bCs w:val="0"/>
          <w:color w:val="000000" w:themeColor="text1"/>
          <w:lang w:val="en-US" w:eastAsia="zh-CN"/>
          <w14:textFill>
            <w14:solidFill>
              <w14:schemeClr w14:val="tx1"/>
            </w14:solidFill>
          </w14:textFill>
        </w:rPr>
        <w:t>新建匝道桥505米/4座，拼宽主线桥梁1412米/4座(半幅)</w:t>
      </w:r>
      <w:r>
        <w:rPr>
          <w:rFonts w:hint="eastAsia" w:cs="Times New Roman"/>
          <w:b w:val="0"/>
          <w:bCs w:val="0"/>
          <w:color w:val="000000" w:themeColor="text1"/>
          <w:lang w:val="en-US" w:eastAsia="zh-CN"/>
          <w14:textFill>
            <w14:solidFill>
              <w14:schemeClr w14:val="tx1"/>
            </w14:solidFill>
          </w14:textFill>
        </w:rPr>
        <w:t>，</w:t>
      </w:r>
      <w:r>
        <w:rPr>
          <w:rFonts w:hint="default" w:ascii="Times New Roman" w:hAnsi="Times New Roman" w:cs="Times New Roman"/>
          <w:b w:val="0"/>
          <w:bCs w:val="0"/>
          <w:color w:val="000000" w:themeColor="text1"/>
          <w:lang w:val="en-US" w:eastAsia="zh-CN"/>
          <w14:textFill>
            <w14:solidFill>
              <w14:schemeClr w14:val="tx1"/>
            </w14:solidFill>
          </w14:textFill>
        </w:rPr>
        <w:t>新建板式涵洞2道。在机场专用高速公路东侧设收费站一处，按照6入9出共15个车道规划设计(ETC为3入3出)，立交采用B型单喇叭型式，新增用地212.55亩。</w:t>
      </w:r>
    </w:p>
    <w:p>
      <w:pPr>
        <w:pStyle w:val="55"/>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表</w:t>
      </w:r>
      <w:r>
        <w:rPr>
          <w:rFonts w:hint="default" w:ascii="Times New Roman" w:hAnsi="Times New Roman" w:cs="Times New Roman"/>
          <w:color w:val="000000" w:themeColor="text1"/>
          <w:sz w:val="21"/>
          <w:szCs w:val="21"/>
          <w:lang w:val="en-US" w:eastAsia="zh-CN"/>
          <w14:textFill>
            <w14:solidFill>
              <w14:schemeClr w14:val="tx1"/>
            </w14:solidFill>
          </w14:textFill>
        </w:rPr>
        <w:t>2</w:t>
      </w:r>
      <w:r>
        <w:rPr>
          <w:rFonts w:hint="default" w:ascii="Times New Roman" w:hAnsi="Times New Roman" w:cs="Times New Roman"/>
          <w:color w:val="000000" w:themeColor="text1"/>
          <w:sz w:val="21"/>
          <w:szCs w:val="21"/>
          <w14:textFill>
            <w14:solidFill>
              <w14:schemeClr w14:val="tx1"/>
            </w14:solidFill>
          </w14:textFill>
        </w:rPr>
        <w:t>-</w:t>
      </w:r>
      <w:r>
        <w:rPr>
          <w:rFonts w:hint="default" w:ascii="Times New Roman" w:hAnsi="Times New Roman" w:cs="Times New Roman"/>
          <w:color w:val="000000" w:themeColor="text1"/>
          <w:sz w:val="21"/>
          <w:szCs w:val="21"/>
          <w:lang w:val="en-US" w:eastAsia="zh-CN"/>
          <w14:textFill>
            <w14:solidFill>
              <w14:schemeClr w14:val="tx1"/>
            </w14:solidFill>
          </w14:textFill>
        </w:rPr>
        <w:t>3</w:t>
      </w:r>
      <w:r>
        <w:rPr>
          <w:rFonts w:hint="default" w:ascii="Times New Roman" w:hAnsi="Times New Roman" w:cs="Times New Roman"/>
          <w:color w:val="000000" w:themeColor="text1"/>
          <w:sz w:val="21"/>
          <w:szCs w:val="21"/>
          <w14:textFill>
            <w14:solidFill>
              <w14:schemeClr w14:val="tx1"/>
            </w14:solidFill>
          </w14:textFill>
        </w:rPr>
        <w:t xml:space="preserve">  </w:t>
      </w:r>
      <w:r>
        <w:rPr>
          <w:rFonts w:hint="default" w:ascii="Times New Roman" w:hAnsi="Times New Roman" w:cs="Times New Roman"/>
          <w:b/>
          <w:bCs/>
          <w:sz w:val="21"/>
          <w:szCs w:val="21"/>
          <w:lang w:val="en-US" w:eastAsia="zh-CN"/>
        </w:rPr>
        <w:t>西咸国际机场专用高速公路秦汉立交</w:t>
      </w:r>
      <w:r>
        <w:rPr>
          <w:rFonts w:hint="default" w:ascii="Times New Roman" w:hAnsi="Times New Roman" w:cs="Times New Roman"/>
          <w:color w:val="000000" w:themeColor="text1"/>
          <w:sz w:val="21"/>
          <w:szCs w:val="21"/>
          <w14:textFill>
            <w14:solidFill>
              <w14:schemeClr w14:val="tx1"/>
            </w14:solidFill>
          </w14:textFill>
        </w:rPr>
        <w:t>工程基本情况</w:t>
      </w:r>
    </w:p>
    <w:tbl>
      <w:tblPr>
        <w:tblStyle w:val="2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834"/>
        <w:gridCol w:w="1260"/>
        <w:gridCol w:w="685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rFonts w:hint="default" w:ascii="Times New Roman" w:hAnsi="Times New Roman" w:eastAsia="仿宋" w:cs="Times New Roman"/>
                <w:b/>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bCs/>
                <w:color w:val="000000" w:themeColor="text1"/>
                <w:sz w:val="21"/>
                <w:szCs w:val="21"/>
                <w14:textFill>
                  <w14:solidFill>
                    <w14:schemeClr w14:val="tx1"/>
                  </w14:solidFill>
                </w14:textFill>
              </w:rPr>
              <w:t>序号</w:t>
            </w:r>
          </w:p>
        </w:tc>
        <w:tc>
          <w:tcPr>
            <w:tcW w:w="704" w:type="pct"/>
            <w:vAlign w:val="center"/>
          </w:tcPr>
          <w:p>
            <w:pPr>
              <w:spacing w:line="240" w:lineRule="auto"/>
              <w:ind w:firstLine="0" w:firstLineChars="0"/>
              <w:jc w:val="center"/>
              <w:rPr>
                <w:rFonts w:hint="default" w:ascii="Times New Roman" w:hAnsi="Times New Roman" w:eastAsia="仿宋" w:cs="Times New Roman"/>
                <w:b/>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bCs/>
                <w:color w:val="000000" w:themeColor="text1"/>
                <w:sz w:val="21"/>
                <w:szCs w:val="21"/>
                <w14:textFill>
                  <w14:solidFill>
                    <w14:schemeClr w14:val="tx1"/>
                  </w14:solidFill>
                </w14:textFill>
              </w:rPr>
              <w:t>名称</w:t>
            </w:r>
          </w:p>
        </w:tc>
        <w:tc>
          <w:tcPr>
            <w:tcW w:w="3829" w:type="pct"/>
            <w:vAlign w:val="center"/>
          </w:tcPr>
          <w:p>
            <w:pPr>
              <w:spacing w:line="240" w:lineRule="auto"/>
              <w:ind w:firstLine="562" w:firstLineChars="0"/>
              <w:jc w:val="center"/>
              <w:rPr>
                <w:rFonts w:hint="default" w:ascii="Times New Roman" w:hAnsi="Times New Roman" w:eastAsia="仿宋" w:cs="Times New Roman"/>
                <w:b/>
                <w:bCs/>
                <w:color w:val="000000" w:themeColor="text1"/>
                <w:kern w:val="2"/>
                <w:sz w:val="21"/>
                <w:szCs w:val="21"/>
                <w:lang w:val="en-US" w:eastAsia="zh-CN" w:bidi="ar-SA"/>
                <w14:textFill>
                  <w14:solidFill>
                    <w14:schemeClr w14:val="tx1"/>
                  </w14:solidFill>
                </w14:textFill>
              </w:rPr>
            </w:pPr>
            <w:r>
              <w:rPr>
                <w:rFonts w:hint="default" w:ascii="Times New Roman" w:hAnsi="Times New Roman" w:cs="Times New Roman"/>
                <w:b/>
                <w:bCs/>
                <w:color w:val="000000" w:themeColor="text1"/>
                <w:sz w:val="21"/>
                <w:szCs w:val="21"/>
                <w14:textFill>
                  <w14:solidFill>
                    <w14:schemeClr w14:val="tx1"/>
                  </w14:solidFill>
                </w14:textFill>
              </w:rPr>
              <w:t>内容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1</w:t>
            </w:r>
          </w:p>
        </w:tc>
        <w:tc>
          <w:tcPr>
            <w:tcW w:w="704"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项目组成</w:t>
            </w:r>
          </w:p>
        </w:tc>
        <w:tc>
          <w:tcPr>
            <w:tcW w:w="3829" w:type="pct"/>
            <w:vAlign w:val="center"/>
          </w:tcPr>
          <w:p>
            <w:pPr>
              <w:spacing w:line="240" w:lineRule="auto"/>
              <w:ind w:left="0" w:leftChars="0" w:firstLine="0" w:firstLineChars="0"/>
              <w:jc w:val="both"/>
              <w:rPr>
                <w:rFonts w:hint="default" w:ascii="Times New Roman" w:hAnsi="Times New Roman" w:cs="Times New Roman"/>
                <w:sz w:val="21"/>
                <w:szCs w:val="21"/>
              </w:rPr>
            </w:pPr>
            <w:r>
              <w:rPr>
                <w:rFonts w:hint="default" w:ascii="Times New Roman" w:hAnsi="Times New Roman" w:cs="Times New Roman"/>
                <w:sz w:val="21"/>
                <w:szCs w:val="21"/>
              </w:rPr>
              <w:t>总长2058. 308米.新建匝道桥505米/4座，拼宽主线桥梁1412米/4座(半幅),新建板式涵洞2道。</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456" w:hRule="atLeast"/>
          <w:jc w:val="center"/>
        </w:trPr>
        <w:tc>
          <w:tcPr>
            <w:tcW w:w="466"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2</w:t>
            </w:r>
          </w:p>
        </w:tc>
        <w:tc>
          <w:tcPr>
            <w:tcW w:w="704"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建设工期</w:t>
            </w:r>
          </w:p>
        </w:tc>
        <w:tc>
          <w:tcPr>
            <w:tcW w:w="3829"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201</w:t>
            </w:r>
            <w:r>
              <w:rPr>
                <w:rFonts w:hint="eastAsia" w:cs="Times New Roman"/>
                <w:color w:val="000000" w:themeColor="text1"/>
                <w:sz w:val="21"/>
                <w:szCs w:val="21"/>
                <w:lang w:val="en-US" w:eastAsia="zh-CN"/>
                <w14:textFill>
                  <w14:solidFill>
                    <w14:schemeClr w14:val="tx1"/>
                  </w14:solidFill>
                </w14:textFill>
              </w:rPr>
              <w:t>7</w:t>
            </w:r>
            <w:r>
              <w:rPr>
                <w:rFonts w:hint="default" w:ascii="Times New Roman" w:hAnsi="Times New Roman" w:cs="Times New Roman"/>
                <w:color w:val="000000" w:themeColor="text1"/>
                <w:sz w:val="21"/>
                <w:szCs w:val="21"/>
                <w14:textFill>
                  <w14:solidFill>
                    <w14:schemeClr w14:val="tx1"/>
                  </w14:solidFill>
                </w14:textFill>
              </w:rPr>
              <w:t>年至20</w:t>
            </w:r>
            <w:r>
              <w:rPr>
                <w:rFonts w:hint="eastAsia" w:cs="Times New Roman"/>
                <w:color w:val="000000" w:themeColor="text1"/>
                <w:sz w:val="21"/>
                <w:szCs w:val="21"/>
                <w:lang w:val="en-US" w:eastAsia="zh-CN"/>
                <w14:textFill>
                  <w14:solidFill>
                    <w14:schemeClr w14:val="tx1"/>
                  </w14:solidFill>
                </w14:textFill>
              </w:rPr>
              <w:t>18</w:t>
            </w:r>
            <w:r>
              <w:rPr>
                <w:rFonts w:hint="default" w:ascii="Times New Roman" w:hAnsi="Times New Roman" w:cs="Times New Roman"/>
                <w:color w:val="000000" w:themeColor="text1"/>
                <w:sz w:val="21"/>
                <w:szCs w:val="21"/>
                <w14:textFill>
                  <w14:solidFill>
                    <w14:schemeClr w14:val="tx1"/>
                  </w14:solidFill>
                </w14:textFill>
              </w:rPr>
              <w:t>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4</w:t>
            </w:r>
          </w:p>
        </w:tc>
        <w:tc>
          <w:tcPr>
            <w:tcW w:w="704"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建设单位</w:t>
            </w:r>
          </w:p>
        </w:tc>
        <w:tc>
          <w:tcPr>
            <w:tcW w:w="3829"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陕西交控集团绕城高速公路扩能工程管理处</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456" w:hRule="atLeast"/>
          <w:jc w:val="center"/>
        </w:trPr>
        <w:tc>
          <w:tcPr>
            <w:tcW w:w="466"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5</w:t>
            </w:r>
          </w:p>
        </w:tc>
        <w:tc>
          <w:tcPr>
            <w:tcW w:w="704"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建设性质</w:t>
            </w:r>
          </w:p>
        </w:tc>
        <w:tc>
          <w:tcPr>
            <w:tcW w:w="3829" w:type="pct"/>
            <w:vAlign w:val="center"/>
          </w:tcPr>
          <w:p>
            <w:pPr>
              <w:spacing w:line="240" w:lineRule="auto"/>
              <w:ind w:firstLine="0" w:firstLineChars="0"/>
              <w:jc w:val="center"/>
              <w:rPr>
                <w:rFonts w:hint="default" w:ascii="Times New Roman" w:hAnsi="Times New Roman" w:eastAsia="仿宋" w:cs="Times New Roman"/>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lang w:eastAsia="zh-CN"/>
                <w14:textFill>
                  <w14:solidFill>
                    <w14:schemeClr w14:val="tx1"/>
                  </w14:solidFill>
                </w14:textFill>
              </w:rPr>
              <w:t>新建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6</w:t>
            </w:r>
          </w:p>
        </w:tc>
        <w:tc>
          <w:tcPr>
            <w:tcW w:w="704"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环评单位</w:t>
            </w:r>
          </w:p>
        </w:tc>
        <w:tc>
          <w:tcPr>
            <w:tcW w:w="3829" w:type="pct"/>
            <w:vAlign w:val="center"/>
          </w:tcPr>
          <w:p>
            <w:pPr>
              <w:spacing w:line="240" w:lineRule="auto"/>
              <w:ind w:firstLine="0" w:firstLineChars="0"/>
              <w:jc w:val="center"/>
              <w:rPr>
                <w:rFonts w:hint="default" w:ascii="Times New Roman" w:hAnsi="Times New Roman" w:eastAsia="仿宋" w:cs="Times New Roman"/>
                <w:color w:val="000000" w:themeColor="text1"/>
                <w:sz w:val="21"/>
                <w:szCs w:val="21"/>
                <w:lang w:eastAsia="zh-CN"/>
                <w14:textFill>
                  <w14:solidFill>
                    <w14:schemeClr w14:val="tx1"/>
                  </w14:solidFill>
                </w14:textFill>
              </w:rPr>
            </w:pPr>
            <w:r>
              <w:rPr>
                <w:rFonts w:hint="eastAsia" w:ascii="Times New Roman" w:hAnsi="Times New Roman"/>
                <w:color w:val="000000"/>
                <w:sz w:val="21"/>
                <w:szCs w:val="21"/>
                <w:lang w:val="en-US" w:eastAsia="zh-CN"/>
              </w:rPr>
              <w:t>安徽中环环境科学研究院有限公司</w:t>
            </w:r>
            <w:r>
              <w:rPr>
                <w:rFonts w:hint="default" w:ascii="Times New Roman" w:hAnsi="Times New Roman" w:cs="Times New Roman"/>
                <w:color w:val="000000" w:themeColor="text1"/>
                <w:sz w:val="21"/>
                <w:szCs w:val="21"/>
                <w:lang w:val="en-US" w:eastAsia="zh-CN"/>
                <w14:textFill>
                  <w14:solidFill>
                    <w14:schemeClr w14:val="tx1"/>
                  </w14:solidFill>
                </w14:textFill>
              </w:rPr>
              <w:t xml:space="preserve"> </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7</w:t>
            </w:r>
          </w:p>
        </w:tc>
        <w:tc>
          <w:tcPr>
            <w:tcW w:w="704"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设计单位</w:t>
            </w:r>
          </w:p>
        </w:tc>
        <w:tc>
          <w:tcPr>
            <w:tcW w:w="3829" w:type="pct"/>
            <w:vAlign w:val="center"/>
          </w:tcPr>
          <w:p>
            <w:pPr>
              <w:spacing w:line="240" w:lineRule="auto"/>
              <w:ind w:firstLine="0" w:firstLineChars="0"/>
              <w:jc w:val="center"/>
              <w:rPr>
                <w:rFonts w:hint="default" w:ascii="Times New Roman" w:hAnsi="Times New Roman" w:eastAsia="仿宋"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陕西省交通规划设计研究院</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8</w:t>
            </w:r>
          </w:p>
        </w:tc>
        <w:tc>
          <w:tcPr>
            <w:tcW w:w="704"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施工单位</w:t>
            </w:r>
          </w:p>
        </w:tc>
        <w:tc>
          <w:tcPr>
            <w:tcW w:w="3829"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陕西路桥集团有限公司</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456" w:hRule="atLeast"/>
          <w:jc w:val="center"/>
        </w:trPr>
        <w:tc>
          <w:tcPr>
            <w:tcW w:w="466"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9</w:t>
            </w:r>
          </w:p>
        </w:tc>
        <w:tc>
          <w:tcPr>
            <w:tcW w:w="704"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lang w:eastAsia="zh-CN"/>
                <w14:textFill>
                  <w14:solidFill>
                    <w14:schemeClr w14:val="tx1"/>
                  </w14:solidFill>
                </w14:textFill>
              </w:rPr>
              <w:t>工程</w:t>
            </w:r>
            <w:r>
              <w:rPr>
                <w:rFonts w:hint="default" w:ascii="Times New Roman" w:hAnsi="Times New Roman" w:cs="Times New Roman"/>
                <w:color w:val="000000" w:themeColor="text1"/>
                <w:sz w:val="21"/>
                <w:szCs w:val="21"/>
                <w14:textFill>
                  <w14:solidFill>
                    <w14:schemeClr w14:val="tx1"/>
                  </w14:solidFill>
                </w14:textFill>
              </w:rPr>
              <w:t>监理</w:t>
            </w:r>
          </w:p>
        </w:tc>
        <w:tc>
          <w:tcPr>
            <w:tcW w:w="3829" w:type="pct"/>
            <w:vAlign w:val="center"/>
          </w:tcPr>
          <w:p>
            <w:pPr>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陕西省交通工程咨询公司</w:t>
            </w:r>
          </w:p>
        </w:tc>
      </w:tr>
    </w:tbl>
    <w:p>
      <w:pPr>
        <w:ind w:firstLine="482" w:firstLineChars="200"/>
        <w:rPr>
          <w:rFonts w:hint="eastAsia" w:ascii="Times New Roman" w:hAnsi="Times New Roman"/>
          <w:b/>
          <w:bCs/>
          <w:lang w:val="en-US" w:eastAsia="zh-CN"/>
        </w:rPr>
      </w:pPr>
      <w:r>
        <w:rPr>
          <w:rFonts w:hint="eastAsia" w:ascii="Times New Roman" w:hAnsi="Times New Roman"/>
          <w:b/>
          <w:bCs/>
          <w:lang w:val="en-US" w:eastAsia="zh-CN"/>
        </w:rPr>
        <w:t>西安绕城高速公路西咸互通式立交工程</w:t>
      </w:r>
    </w:p>
    <w:p>
      <w:pPr>
        <w:ind w:firstLine="560"/>
        <w:rPr>
          <w:rFonts w:hint="eastAsia"/>
          <w:b w:val="0"/>
          <w:bCs w:val="0"/>
          <w:color w:val="000000" w:themeColor="text1"/>
          <w:lang w:val="en-US" w:eastAsia="zh-CN"/>
          <w14:textFill>
            <w14:solidFill>
              <w14:schemeClr w14:val="tx1"/>
            </w14:solidFill>
          </w14:textFill>
        </w:rPr>
      </w:pPr>
      <w:r>
        <w:rPr>
          <w:rFonts w:hint="eastAsia"/>
          <w:b w:val="0"/>
          <w:bCs w:val="0"/>
          <w:color w:val="000000" w:themeColor="text1"/>
          <w:lang w:val="en-US" w:eastAsia="zh-CN"/>
          <w14:textFill>
            <w14:solidFill>
              <w14:schemeClr w14:val="tx1"/>
            </w14:solidFill>
          </w14:textFill>
        </w:rPr>
        <w:t>西咸互通式立交采用半定向T型立交方案，共设置5条匝道，匝道全长3833.358m，与绕城主线拼宽1318m；主线路基宽度35m；A、C、D匝道采用单向双车道路基宽度10.5m；B匝道采用单向单车道路基宽度9.0m；E匝道整体式断面采用两种宽度，分别为对向分隔八车道路基宽度33.5m、对向分隔六车道路基宽26.5m；分离式断面单侧路基宽度14m；新建匝道桥796.5m/4座，通道202.45m/6座；立交设1处收费站，收费车道数为7进8出；拆除结构物6249.93m</w:t>
      </w:r>
      <w:r>
        <w:rPr>
          <w:rFonts w:hint="eastAsia"/>
          <w:b w:val="0"/>
          <w:bCs w:val="0"/>
          <w:color w:val="000000" w:themeColor="text1"/>
          <w:vertAlign w:val="superscript"/>
          <w:lang w:val="en-US" w:eastAsia="zh-CN"/>
          <w14:textFill>
            <w14:solidFill>
              <w14:schemeClr w14:val="tx1"/>
            </w14:solidFill>
          </w14:textFill>
        </w:rPr>
        <w:t>3</w:t>
      </w:r>
      <w:r>
        <w:rPr>
          <w:rFonts w:hint="eastAsia"/>
          <w:b w:val="0"/>
          <w:bCs w:val="0"/>
          <w:color w:val="000000" w:themeColor="text1"/>
          <w:lang w:val="en-US" w:eastAsia="zh-CN"/>
          <w14:textFill>
            <w14:solidFill>
              <w14:schemeClr w14:val="tx1"/>
            </w14:solidFill>
          </w14:textFill>
        </w:rPr>
        <w:t>。</w:t>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表3-</w:t>
      </w:r>
      <w:r>
        <w:rPr>
          <w:rFonts w:hint="eastAsia"/>
          <w:color w:val="000000" w:themeColor="text1"/>
          <w:sz w:val="21"/>
          <w:szCs w:val="21"/>
          <w:lang w:val="en-US" w:eastAsia="zh-CN"/>
          <w14:textFill>
            <w14:solidFill>
              <w14:schemeClr w14:val="tx1"/>
            </w14:solidFill>
          </w14:textFill>
        </w:rPr>
        <w:t>2</w:t>
      </w:r>
      <w:r>
        <w:rPr>
          <w:color w:val="000000" w:themeColor="text1"/>
          <w:sz w:val="21"/>
          <w:szCs w:val="21"/>
          <w14:textFill>
            <w14:solidFill>
              <w14:schemeClr w14:val="tx1"/>
            </w14:solidFill>
          </w14:textFill>
        </w:rPr>
        <w:t xml:space="preserve">  </w:t>
      </w:r>
      <w:r>
        <w:rPr>
          <w:rFonts w:hint="eastAsia" w:ascii="Times New Roman" w:hAnsi="Times New Roman"/>
          <w:b/>
          <w:bCs/>
          <w:sz w:val="21"/>
          <w:szCs w:val="21"/>
          <w:lang w:val="en-US" w:eastAsia="zh-CN"/>
        </w:rPr>
        <w:t>西咸互通式立交</w:t>
      </w:r>
      <w:r>
        <w:rPr>
          <w:color w:val="000000" w:themeColor="text1"/>
          <w:sz w:val="21"/>
          <w:szCs w:val="21"/>
          <w14:textFill>
            <w14:solidFill>
              <w14:schemeClr w14:val="tx1"/>
            </w14:solidFill>
          </w14:textFill>
        </w:rPr>
        <w:t>工程基本情况</w:t>
      </w:r>
    </w:p>
    <w:tbl>
      <w:tblPr>
        <w:tblStyle w:val="2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834"/>
        <w:gridCol w:w="1260"/>
        <w:gridCol w:w="685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rFonts w:ascii="Times New Roman" w:hAnsi="Times New Roman" w:eastAsia="仿宋" w:cs="Times New Roman"/>
                <w:b/>
                <w:bCs/>
                <w:color w:val="000000" w:themeColor="text1"/>
                <w:kern w:val="2"/>
                <w:sz w:val="21"/>
                <w:szCs w:val="21"/>
                <w:lang w:val="en-US" w:eastAsia="zh-CN" w:bidi="ar-SA"/>
                <w14:textFill>
                  <w14:solidFill>
                    <w14:schemeClr w14:val="tx1"/>
                  </w14:solidFill>
                </w14:textFill>
              </w:rPr>
            </w:pPr>
            <w:r>
              <w:rPr>
                <w:b/>
                <w:bCs/>
                <w:color w:val="000000" w:themeColor="text1"/>
                <w:sz w:val="21"/>
                <w:szCs w:val="21"/>
                <w14:textFill>
                  <w14:solidFill>
                    <w14:schemeClr w14:val="tx1"/>
                  </w14:solidFill>
                </w14:textFill>
              </w:rPr>
              <w:t>序号</w:t>
            </w:r>
          </w:p>
        </w:tc>
        <w:tc>
          <w:tcPr>
            <w:tcW w:w="704" w:type="pct"/>
            <w:vAlign w:val="center"/>
          </w:tcPr>
          <w:p>
            <w:pPr>
              <w:spacing w:line="240" w:lineRule="auto"/>
              <w:ind w:firstLine="0" w:firstLineChars="0"/>
              <w:jc w:val="center"/>
              <w:rPr>
                <w:rFonts w:ascii="Times New Roman" w:hAnsi="Times New Roman" w:eastAsia="仿宋" w:cs="Times New Roman"/>
                <w:b/>
                <w:bCs/>
                <w:color w:val="000000" w:themeColor="text1"/>
                <w:kern w:val="2"/>
                <w:sz w:val="21"/>
                <w:szCs w:val="21"/>
                <w:lang w:val="en-US" w:eastAsia="zh-CN" w:bidi="ar-SA"/>
                <w14:textFill>
                  <w14:solidFill>
                    <w14:schemeClr w14:val="tx1"/>
                  </w14:solidFill>
                </w14:textFill>
              </w:rPr>
            </w:pPr>
            <w:r>
              <w:rPr>
                <w:b/>
                <w:bCs/>
                <w:color w:val="000000" w:themeColor="text1"/>
                <w:sz w:val="21"/>
                <w:szCs w:val="21"/>
                <w14:textFill>
                  <w14:solidFill>
                    <w14:schemeClr w14:val="tx1"/>
                  </w14:solidFill>
                </w14:textFill>
              </w:rPr>
              <w:t>名称</w:t>
            </w:r>
          </w:p>
        </w:tc>
        <w:tc>
          <w:tcPr>
            <w:tcW w:w="3829" w:type="pct"/>
            <w:vAlign w:val="center"/>
          </w:tcPr>
          <w:p>
            <w:pPr>
              <w:spacing w:line="240" w:lineRule="auto"/>
              <w:ind w:firstLine="562" w:firstLineChars="0"/>
              <w:jc w:val="center"/>
              <w:rPr>
                <w:rFonts w:ascii="Times New Roman" w:hAnsi="Times New Roman" w:eastAsia="仿宋" w:cs="Times New Roman"/>
                <w:b/>
                <w:bCs/>
                <w:color w:val="000000" w:themeColor="text1"/>
                <w:kern w:val="2"/>
                <w:sz w:val="21"/>
                <w:szCs w:val="21"/>
                <w:lang w:val="en-US" w:eastAsia="zh-CN" w:bidi="ar-SA"/>
                <w14:textFill>
                  <w14:solidFill>
                    <w14:schemeClr w14:val="tx1"/>
                  </w14:solidFill>
                </w14:textFill>
              </w:rPr>
            </w:pPr>
            <w:r>
              <w:rPr>
                <w:b/>
                <w:bCs/>
                <w:color w:val="000000" w:themeColor="text1"/>
                <w:sz w:val="21"/>
                <w:szCs w:val="21"/>
                <w14:textFill>
                  <w14:solidFill>
                    <w14:schemeClr w14:val="tx1"/>
                  </w14:solidFill>
                </w14:textFill>
              </w:rPr>
              <w:t>内容</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项目组成</w:t>
            </w:r>
          </w:p>
        </w:tc>
        <w:tc>
          <w:tcPr>
            <w:tcW w:w="3829" w:type="pct"/>
            <w:vAlign w:val="center"/>
          </w:tcPr>
          <w:p>
            <w:pPr>
              <w:spacing w:line="240" w:lineRule="auto"/>
              <w:ind w:firstLine="560" w:firstLineChars="0"/>
              <w:jc w:val="both"/>
              <w:rPr>
                <w:sz w:val="21"/>
                <w:szCs w:val="21"/>
              </w:rPr>
            </w:pPr>
            <w:r>
              <w:rPr>
                <w:rFonts w:hint="eastAsia" w:cs="Times New Roman"/>
                <w:color w:val="000000" w:themeColor="text1"/>
                <w:sz w:val="21"/>
                <w:szCs w:val="21"/>
                <w:lang w:val="en-US" w:eastAsia="zh-CN"/>
                <w14:textFill>
                  <w14:solidFill>
                    <w14:schemeClr w14:val="tx1"/>
                  </w14:solidFill>
                </w14:textFill>
              </w:rPr>
              <w:t>西咸互通式立交采用半定向T型立交方案，共设置5条匝道，</w:t>
            </w:r>
            <w:r>
              <w:rPr>
                <w:rFonts w:hint="default" w:cs="Times New Roman"/>
                <w:color w:val="000000" w:themeColor="text1"/>
                <w:sz w:val="21"/>
                <w:szCs w:val="21"/>
                <w:lang w:val="en-US" w:eastAsia="zh-CN"/>
                <w14:textFill>
                  <w14:solidFill>
                    <w14:schemeClr w14:val="tx1"/>
                  </w14:solidFill>
                </w14:textFill>
              </w:rPr>
              <w:t>新建匝道桥4座/796.5m，通道6座/202.45m，箱涵1道/10.89m，伸缩缝18道</w:t>
            </w:r>
            <w:r>
              <w:rPr>
                <w:rFonts w:hint="eastAsia" w:cs="Times New Roman"/>
                <w:color w:val="000000" w:themeColor="text1"/>
                <w:sz w:val="21"/>
                <w:szCs w:val="21"/>
                <w:lang w:val="en-US" w:eastAsia="zh-CN"/>
                <w14:textFill>
                  <w14:solidFill>
                    <w14:schemeClr w14:val="tx1"/>
                  </w14:solidFill>
                </w14:textFill>
              </w:rPr>
              <w:t>；立交设1处收费站，收费车道数为7进8出。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建设工期</w:t>
            </w:r>
          </w:p>
        </w:tc>
        <w:tc>
          <w:tcPr>
            <w:tcW w:w="3829"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201</w:t>
            </w:r>
            <w:r>
              <w:rPr>
                <w:rFonts w:hint="eastAsia"/>
                <w:color w:val="000000" w:themeColor="text1"/>
                <w:sz w:val="21"/>
                <w:szCs w:val="21"/>
                <w:lang w:val="en-US" w:eastAsia="zh-CN"/>
                <w14:textFill>
                  <w14:solidFill>
                    <w14:schemeClr w14:val="tx1"/>
                  </w14:solidFill>
                </w14:textFill>
              </w:rPr>
              <w:t>9</w:t>
            </w:r>
            <w:r>
              <w:rPr>
                <w:color w:val="000000" w:themeColor="text1"/>
                <w:sz w:val="21"/>
                <w:szCs w:val="21"/>
                <w14:textFill>
                  <w14:solidFill>
                    <w14:schemeClr w14:val="tx1"/>
                  </w14:solidFill>
                </w14:textFill>
              </w:rPr>
              <w:t>年至202</w:t>
            </w:r>
            <w:r>
              <w:rPr>
                <w:rFonts w:hint="eastAsia"/>
                <w:color w:val="000000" w:themeColor="text1"/>
                <w:sz w:val="21"/>
                <w:szCs w:val="21"/>
                <w:lang w:val="en-US" w:eastAsia="zh-CN"/>
                <w14:textFill>
                  <w14:solidFill>
                    <w14:schemeClr w14:val="tx1"/>
                  </w14:solidFill>
                </w14:textFill>
              </w:rPr>
              <w:t>1</w:t>
            </w:r>
            <w:r>
              <w:rPr>
                <w:color w:val="000000" w:themeColor="text1"/>
                <w:sz w:val="21"/>
                <w:szCs w:val="21"/>
                <w14:textFill>
                  <w14:solidFill>
                    <w14:schemeClr w14:val="tx1"/>
                  </w14:solidFill>
                </w14:textFill>
              </w:rPr>
              <w:t>年</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建设单位</w:t>
            </w:r>
          </w:p>
        </w:tc>
        <w:tc>
          <w:tcPr>
            <w:tcW w:w="3829"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rFonts w:hint="eastAsia" w:cs="Times New Roman"/>
                <w:color w:val="000000" w:themeColor="text1"/>
                <w:sz w:val="21"/>
                <w:szCs w:val="21"/>
                <w:lang w:val="en-US" w:eastAsia="zh-CN"/>
                <w14:textFill>
                  <w14:solidFill>
                    <w14:schemeClr w14:val="tx1"/>
                  </w14:solidFill>
                </w14:textFill>
              </w:rPr>
              <w:t>陕西交控集团绕城高速公路扩能工程管理处</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建设性质</w:t>
            </w:r>
          </w:p>
        </w:tc>
        <w:tc>
          <w:tcPr>
            <w:tcW w:w="3829" w:type="pct"/>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新建、改扩建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6</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环评单位</w:t>
            </w:r>
          </w:p>
        </w:tc>
        <w:tc>
          <w:tcPr>
            <w:tcW w:w="3829" w:type="pct"/>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长安大学</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7</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设计单位</w:t>
            </w:r>
          </w:p>
        </w:tc>
        <w:tc>
          <w:tcPr>
            <w:tcW w:w="3829" w:type="pct"/>
            <w:vAlign w:val="center"/>
          </w:tcPr>
          <w:p>
            <w:pPr>
              <w:spacing w:line="240" w:lineRule="auto"/>
              <w:ind w:firstLine="0" w:firstLineChars="0"/>
              <w:jc w:val="center"/>
              <w:rPr>
                <w:rFonts w:hint="default" w:eastAsia="仿宋"/>
                <w:color w:val="000000" w:themeColor="text1"/>
                <w:sz w:val="21"/>
                <w:szCs w:val="21"/>
                <w:lang w:val="en-US" w:eastAsia="zh-CN"/>
                <w14:textFill>
                  <w14:solidFill>
                    <w14:schemeClr w14:val="tx1"/>
                  </w14:solidFill>
                </w14:textFill>
              </w:rPr>
            </w:pPr>
            <w:r>
              <w:rPr>
                <w:color w:val="000000" w:themeColor="text1"/>
                <w:sz w:val="21"/>
                <w:szCs w:val="21"/>
                <w14:textFill>
                  <w14:solidFill>
                    <w14:schemeClr w14:val="tx1"/>
                  </w14:solidFill>
                </w14:textFill>
              </w:rPr>
              <w:t>陕西省交通规划设计研究院</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8</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施工单位</w:t>
            </w:r>
          </w:p>
        </w:tc>
        <w:tc>
          <w:tcPr>
            <w:tcW w:w="3829" w:type="pct"/>
            <w:vAlign w:val="center"/>
          </w:tcPr>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陕西高速机械化工程有限公司</w:t>
            </w:r>
          </w:p>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陕西路桥集团有限公司</w:t>
            </w:r>
          </w:p>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广东飞达交通工程有限公司</w:t>
            </w:r>
          </w:p>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陕西交通电子工程科技有限公司</w:t>
            </w:r>
          </w:p>
          <w:p>
            <w:pPr>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陕西华萃路桥工程有限责任公司</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456" w:hRule="atLeast"/>
          <w:jc w:val="center"/>
        </w:trPr>
        <w:tc>
          <w:tcPr>
            <w:tcW w:w="466"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9</w:t>
            </w:r>
          </w:p>
        </w:tc>
        <w:tc>
          <w:tcPr>
            <w:tcW w:w="70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工程</w:t>
            </w:r>
            <w:r>
              <w:rPr>
                <w:color w:val="000000" w:themeColor="text1"/>
                <w:sz w:val="21"/>
                <w:szCs w:val="21"/>
                <w14:textFill>
                  <w14:solidFill>
                    <w14:schemeClr w14:val="tx1"/>
                  </w14:solidFill>
                </w14:textFill>
              </w:rPr>
              <w:t>监理</w:t>
            </w:r>
          </w:p>
        </w:tc>
        <w:tc>
          <w:tcPr>
            <w:tcW w:w="3829" w:type="pct"/>
            <w:vAlign w:val="center"/>
          </w:tcPr>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陕西省交通工程咨询公司</w:t>
            </w:r>
          </w:p>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陕西利民公路工程咨询服务有限公司</w:t>
            </w:r>
          </w:p>
          <w:p>
            <w:pPr>
              <w:spacing w:line="240" w:lineRule="auto"/>
              <w:ind w:firstLine="0" w:firstLineChars="0"/>
              <w:jc w:val="center"/>
              <w:rPr>
                <w:rFonts w:hint="eastAsia"/>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陕西省交通工程咨询公司</w:t>
            </w:r>
          </w:p>
          <w:p>
            <w:pPr>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陕西利民公路工程咨询服务有限公司</w:t>
            </w:r>
          </w:p>
        </w:tc>
      </w:tr>
    </w:tbl>
    <w:p>
      <w:pPr>
        <w:pStyle w:val="11"/>
        <w:ind w:firstLine="562"/>
        <w:rPr>
          <w:rFonts w:eastAsia="仿宋"/>
          <w:color w:val="000000" w:themeColor="text1"/>
          <w14:textFill>
            <w14:solidFill>
              <w14:schemeClr w14:val="tx1"/>
            </w14:solidFill>
          </w14:textFill>
        </w:rPr>
      </w:pPr>
      <w:bookmarkStart w:id="67" w:name="_Toc69739732"/>
      <w:r>
        <w:rPr>
          <w:rFonts w:eastAsia="仿宋"/>
          <w:color w:val="000000" w:themeColor="text1"/>
          <w14:textFill>
            <w14:solidFill>
              <w14:schemeClr w14:val="tx1"/>
            </w14:solidFill>
          </w14:textFill>
        </w:rPr>
        <w:t>3.1.3 污染物产生和治理情况</w:t>
      </w:r>
      <w:bookmarkEnd w:id="67"/>
    </w:p>
    <w:p>
      <w:pPr>
        <w:ind w:firstLine="562"/>
        <w:rPr>
          <w:b/>
          <w:bCs/>
          <w:color w:val="000000" w:themeColor="text1"/>
          <w14:textFill>
            <w14:solidFill>
              <w14:schemeClr w14:val="tx1"/>
            </w14:solidFill>
          </w14:textFill>
        </w:rPr>
      </w:pPr>
      <w:bookmarkStart w:id="68" w:name="_Toc503252657"/>
      <w:bookmarkEnd w:id="68"/>
      <w:bookmarkStart w:id="69" w:name="_Toc503252849"/>
      <w:r>
        <w:rPr>
          <w:b/>
          <w:bCs/>
          <w:color w:val="000000" w:themeColor="text1"/>
          <w14:textFill>
            <w14:solidFill>
              <w14:schemeClr w14:val="tx1"/>
            </w14:solidFill>
          </w14:textFill>
        </w:rPr>
        <w:t>（1）</w:t>
      </w:r>
      <w:bookmarkEnd w:id="69"/>
      <w:r>
        <w:rPr>
          <w:b/>
          <w:bCs/>
          <w:color w:val="000000" w:themeColor="text1"/>
          <w14:textFill>
            <w14:solidFill>
              <w14:schemeClr w14:val="tx1"/>
            </w14:solidFill>
          </w14:textFill>
        </w:rPr>
        <w:t>废水产生及治理情况</w:t>
      </w:r>
    </w:p>
    <w:p>
      <w:pPr>
        <w:ind w:firstLine="560"/>
        <w:rPr>
          <w:rFonts w:hint="eastAsia"/>
          <w:color w:val="000000" w:themeColor="text1"/>
          <w:szCs w:val="22"/>
          <w14:textFill>
            <w14:solidFill>
              <w14:schemeClr w14:val="tx1"/>
            </w14:solidFill>
          </w14:textFill>
        </w:rPr>
      </w:pPr>
      <w:bookmarkStart w:id="70" w:name="_Toc503252658"/>
      <w:bookmarkEnd w:id="70"/>
      <w:r>
        <w:rPr>
          <w:rFonts w:hint="eastAsia"/>
          <w:b w:val="0"/>
          <w:bCs w:val="0"/>
          <w:color w:val="000000" w:themeColor="text1"/>
          <w14:textFill>
            <w14:solidFill>
              <w14:schemeClr w14:val="tx1"/>
            </w14:solidFill>
          </w14:textFill>
        </w:rPr>
        <w:t>西安绕城高速公路通行能力提升工程</w:t>
      </w:r>
      <w:r>
        <w:rPr>
          <w:rFonts w:hint="eastAsia"/>
          <w:b w:val="0"/>
          <w:bCs w:val="0"/>
          <w:color w:val="000000" w:themeColor="text1"/>
          <w:szCs w:val="22"/>
          <w14:textFill>
            <w14:solidFill>
              <w14:schemeClr w14:val="tx1"/>
            </w14:solidFill>
          </w14:textFill>
        </w:rPr>
        <w:t>项目</w:t>
      </w:r>
      <w:r>
        <w:rPr>
          <w:rFonts w:hint="eastAsia"/>
          <w:b w:val="0"/>
          <w:bCs w:val="0"/>
          <w:color w:val="000000" w:themeColor="text1"/>
          <w:szCs w:val="22"/>
          <w:lang w:eastAsia="zh-CN"/>
          <w14:textFill>
            <w14:solidFill>
              <w14:schemeClr w14:val="tx1"/>
            </w14:solidFill>
          </w14:textFill>
        </w:rPr>
        <w:t>中丈八四路立交两侧设临时生活区</w:t>
      </w:r>
      <w:r>
        <w:rPr>
          <w:rFonts w:hint="eastAsia"/>
          <w:b w:val="0"/>
          <w:bCs w:val="0"/>
          <w:color w:val="000000" w:themeColor="text1"/>
          <w:szCs w:val="22"/>
          <w:lang w:val="en-US" w:eastAsia="zh-CN"/>
          <w14:textFill>
            <w14:solidFill>
              <w14:schemeClr w14:val="tx1"/>
            </w14:solidFill>
          </w14:textFill>
        </w:rPr>
        <w:t>2处、雁塔路立交</w:t>
      </w:r>
      <w:r>
        <w:rPr>
          <w:rFonts w:hint="eastAsia"/>
          <w:b w:val="0"/>
          <w:bCs w:val="0"/>
          <w:color w:val="000000" w:themeColor="text1"/>
          <w:szCs w:val="22"/>
          <w:lang w:eastAsia="zh-CN"/>
          <w14:textFill>
            <w14:solidFill>
              <w14:schemeClr w14:val="tx1"/>
            </w14:solidFill>
          </w14:textFill>
        </w:rPr>
        <w:t>两侧设临时生活区</w:t>
      </w:r>
      <w:r>
        <w:rPr>
          <w:rFonts w:hint="eastAsia"/>
          <w:b w:val="0"/>
          <w:bCs w:val="0"/>
          <w:color w:val="000000" w:themeColor="text1"/>
          <w:szCs w:val="22"/>
          <w:lang w:val="en-US" w:eastAsia="zh-CN"/>
          <w14:textFill>
            <w14:solidFill>
              <w14:schemeClr w14:val="tx1"/>
            </w14:solidFill>
          </w14:textFill>
        </w:rPr>
        <w:t>2处、田王立交设收费站1处（田王收费站）。4处临时生活区废水均设置化粪池，处理后排入市政管网，最终进入污水处理厂，</w:t>
      </w:r>
      <w:r>
        <w:rPr>
          <w:rFonts w:hint="eastAsia"/>
          <w:color w:val="000000" w:themeColor="text1"/>
          <w:szCs w:val="22"/>
          <w14:textFill>
            <w14:solidFill>
              <w14:schemeClr w14:val="tx1"/>
            </w14:solidFill>
          </w14:textFill>
        </w:rPr>
        <w:t>收费站均配置一体化处理设施对废水进行</w:t>
      </w:r>
      <w:r>
        <w:rPr>
          <w:rFonts w:hint="eastAsia"/>
          <w:color w:val="000000" w:themeColor="text1"/>
          <w:szCs w:val="22"/>
          <w:lang w:eastAsia="zh-CN"/>
          <w14:textFill>
            <w14:solidFill>
              <w14:schemeClr w14:val="tx1"/>
            </w14:solidFill>
          </w14:textFill>
        </w:rPr>
        <w:t>处理后</w:t>
      </w:r>
      <w:r>
        <w:rPr>
          <w:rFonts w:hint="eastAsia"/>
          <w:color w:val="000000" w:themeColor="text1"/>
          <w:szCs w:val="22"/>
          <w14:textFill>
            <w14:solidFill>
              <w14:schemeClr w14:val="tx1"/>
            </w14:solidFill>
          </w14:textFill>
        </w:rPr>
        <w:t>，</w:t>
      </w:r>
      <w:r>
        <w:rPr>
          <w:rFonts w:hint="eastAsia"/>
          <w:color w:val="000000" w:themeColor="text1"/>
          <w:szCs w:val="22"/>
          <w:lang w:eastAsia="zh-CN"/>
          <w14:textFill>
            <w14:solidFill>
              <w14:schemeClr w14:val="tx1"/>
            </w14:solidFill>
          </w14:textFill>
        </w:rPr>
        <w:t>排入市政管网</w:t>
      </w:r>
      <w:r>
        <w:rPr>
          <w:rFonts w:hint="eastAsia"/>
          <w:color w:val="000000" w:themeColor="text1"/>
          <w:szCs w:val="22"/>
          <w14:textFill>
            <w14:solidFill>
              <w14:schemeClr w14:val="tx1"/>
            </w14:solidFill>
          </w14:textFill>
        </w:rPr>
        <w:t>，其中厨房含油污水先经隔油池处理后再进入污水处理系统。</w:t>
      </w:r>
    </w:p>
    <w:p>
      <w:pPr>
        <w:ind w:firstLine="480" w:firstLineChars="200"/>
        <w:rPr>
          <w:rFonts w:hint="eastAsia" w:ascii="Times New Roman" w:hAnsi="Times New Roman"/>
          <w:b w:val="0"/>
          <w:bCs w:val="0"/>
          <w:color w:val="000000" w:themeColor="text1"/>
          <w:lang w:val="en-US" w:eastAsia="zh-CN"/>
          <w14:textFill>
            <w14:solidFill>
              <w14:schemeClr w14:val="tx1"/>
            </w14:solidFill>
          </w14:textFill>
        </w:rPr>
      </w:pPr>
      <w:r>
        <w:rPr>
          <w:rFonts w:hint="eastAsia" w:ascii="Times New Roman" w:hAnsi="Times New Roman"/>
          <w:b w:val="0"/>
          <w:bCs w:val="0"/>
          <w:lang w:val="en-US" w:eastAsia="zh-CN"/>
        </w:rPr>
        <w:t>西安绕城高速公路西咸互通式立交工程</w:t>
      </w:r>
      <w:r>
        <w:rPr>
          <w:rFonts w:hint="eastAsia" w:ascii="Times New Roman" w:hAnsi="Times New Roman"/>
          <w:b w:val="0"/>
          <w:bCs w:val="0"/>
          <w:color w:val="000000" w:themeColor="text1"/>
          <w:lang w:eastAsia="zh-CN"/>
          <w14:textFill>
            <w14:solidFill>
              <w14:schemeClr w14:val="tx1"/>
            </w14:solidFill>
          </w14:textFill>
        </w:rPr>
        <w:t>设收费站</w:t>
      </w:r>
      <w:r>
        <w:rPr>
          <w:rFonts w:hint="eastAsia" w:ascii="Times New Roman" w:hAnsi="Times New Roman"/>
          <w:b w:val="0"/>
          <w:bCs w:val="0"/>
          <w:color w:val="000000" w:themeColor="text1"/>
          <w:lang w:val="en-US" w:eastAsia="zh-CN"/>
          <w14:textFill>
            <w14:solidFill>
              <w14:schemeClr w14:val="tx1"/>
            </w14:solidFill>
          </w14:textFill>
        </w:rPr>
        <w:t>1处（西咸新区收费站），污水经化粪池处理后排入市政管网，不外排。</w:t>
      </w:r>
    </w:p>
    <w:p>
      <w:pPr>
        <w:ind w:firstLine="560"/>
        <w:rPr>
          <w:rFonts w:hint="eastAsia" w:ascii="Times New Roman" w:hAnsi="Times New Roman"/>
          <w:b w:val="0"/>
          <w:bCs w:val="0"/>
          <w:color w:val="000000" w:themeColor="text1"/>
          <w:lang w:val="en-US" w:eastAsia="zh-CN"/>
          <w14:textFill>
            <w14:solidFill>
              <w14:schemeClr w14:val="tx1"/>
            </w14:solidFill>
          </w14:textFill>
        </w:rPr>
      </w:pPr>
      <w:r>
        <w:rPr>
          <w:rFonts w:hint="eastAsia" w:ascii="Times New Roman" w:hAnsi="Times New Roman"/>
          <w:b w:val="0"/>
          <w:bCs w:val="0"/>
          <w:color w:val="000000" w:themeColor="text1"/>
          <w14:textFill>
            <w14:solidFill>
              <w14:schemeClr w14:val="tx1"/>
            </w14:solidFill>
          </w14:textFill>
        </w:rPr>
        <w:t>西咸国际机场专用高速公路秦汉立交</w:t>
      </w:r>
      <w:r>
        <w:rPr>
          <w:rFonts w:hint="eastAsia" w:ascii="Times New Roman" w:hAnsi="Times New Roman"/>
          <w:b w:val="0"/>
          <w:bCs w:val="0"/>
          <w:color w:val="000000" w:themeColor="text1"/>
          <w:lang w:eastAsia="zh-CN"/>
          <w14:textFill>
            <w14:solidFill>
              <w14:schemeClr w14:val="tx1"/>
            </w14:solidFill>
          </w14:textFill>
        </w:rPr>
        <w:t>设收费站</w:t>
      </w:r>
      <w:r>
        <w:rPr>
          <w:rFonts w:hint="eastAsia" w:ascii="Times New Roman" w:hAnsi="Times New Roman"/>
          <w:b w:val="0"/>
          <w:bCs w:val="0"/>
          <w:color w:val="000000" w:themeColor="text1"/>
          <w:lang w:val="en-US" w:eastAsia="zh-CN"/>
          <w14:textFill>
            <w14:solidFill>
              <w14:schemeClr w14:val="tx1"/>
            </w14:solidFill>
          </w14:textFill>
        </w:rPr>
        <w:t>1处（秦汉收费站），污水经化粪池处理后排入市政管网，不外排。</w:t>
      </w:r>
    </w:p>
    <w:p>
      <w:pPr>
        <w:ind w:firstLine="560"/>
        <w:rPr>
          <w:color w:val="000000" w:themeColor="text1"/>
          <w:szCs w:val="22"/>
          <w14:textFill>
            <w14:solidFill>
              <w14:schemeClr w14:val="tx1"/>
            </w14:solidFill>
          </w14:textFill>
        </w:rPr>
      </w:pPr>
      <w:r>
        <w:rPr>
          <w:color w:val="000000" w:themeColor="text1"/>
          <w:szCs w:val="22"/>
          <w14:textFill>
            <w14:solidFill>
              <w14:schemeClr w14:val="tx1"/>
            </w14:solidFill>
          </w14:textFill>
        </w:rPr>
        <w:t>公路附属设施污水处理措施及排放去向见表3-3。</w:t>
      </w:r>
    </w:p>
    <w:p>
      <w:pPr>
        <w:spacing w:line="240" w:lineRule="auto"/>
        <w:ind w:firstLine="480" w:firstLineChars="0"/>
        <w:jc w:val="center"/>
        <w:rPr>
          <w:b/>
          <w:color w:val="000000" w:themeColor="text1"/>
          <w:sz w:val="21"/>
          <w:szCs w:val="21"/>
          <w14:textFill>
            <w14:solidFill>
              <w14:schemeClr w14:val="tx1"/>
            </w14:solidFill>
          </w14:textFill>
        </w:rPr>
      </w:pPr>
      <w:r>
        <w:rPr>
          <w:b/>
          <w:color w:val="000000" w:themeColor="text1"/>
          <w:sz w:val="21"/>
          <w:szCs w:val="21"/>
          <w14:textFill>
            <w14:solidFill>
              <w14:schemeClr w14:val="tx1"/>
            </w14:solidFill>
          </w14:textFill>
        </w:rPr>
        <w:t>表3-3  公路附属设施污水处理措施及排放去向表</w:t>
      </w:r>
    </w:p>
    <w:tbl>
      <w:tblPr>
        <w:tblStyle w:val="22"/>
        <w:tblW w:w="5143"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333"/>
        <w:gridCol w:w="1462"/>
        <w:gridCol w:w="1237"/>
        <w:gridCol w:w="864"/>
        <w:gridCol w:w="1196"/>
        <w:gridCol w:w="390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73" w:hRule="atLeast"/>
          <w:jc w:val="center"/>
        </w:trPr>
        <w:tc>
          <w:tcPr>
            <w:tcW w:w="185" w:type="pct"/>
            <w:vAlign w:val="center"/>
          </w:tcPr>
          <w:p>
            <w:pPr>
              <w:spacing w:line="240" w:lineRule="auto"/>
              <w:ind w:firstLine="0" w:firstLineChars="0"/>
              <w:jc w:val="center"/>
              <w:rPr>
                <w:color w:val="000000" w:themeColor="text1"/>
                <w:sz w:val="21"/>
                <w:szCs w:val="21"/>
                <w14:textFill>
                  <w14:solidFill>
                    <w14:schemeClr w14:val="tx1"/>
                  </w14:solidFill>
                </w14:textFill>
              </w:rPr>
            </w:pPr>
            <w:bookmarkStart w:id="71" w:name="_Hlk80460207"/>
            <w:r>
              <w:rPr>
                <w:color w:val="000000" w:themeColor="text1"/>
                <w:sz w:val="21"/>
                <w:szCs w:val="21"/>
                <w14:textFill>
                  <w14:solidFill>
                    <w14:schemeClr w14:val="tx1"/>
                  </w14:solidFill>
                </w14:textFill>
              </w:rPr>
              <w:t>序号</w:t>
            </w:r>
          </w:p>
        </w:tc>
        <w:tc>
          <w:tcPr>
            <w:tcW w:w="1499" w:type="pct"/>
            <w:gridSpan w:val="2"/>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辅助设施名称</w:t>
            </w:r>
          </w:p>
        </w:tc>
        <w:tc>
          <w:tcPr>
            <w:tcW w:w="480"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附近水体</w:t>
            </w:r>
          </w:p>
        </w:tc>
        <w:tc>
          <w:tcPr>
            <w:tcW w:w="664"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处理工艺及设计规模</w:t>
            </w:r>
          </w:p>
        </w:tc>
        <w:tc>
          <w:tcPr>
            <w:tcW w:w="2171"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污水处理效果及处理水去向分析</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58" w:hRule="atLeast"/>
          <w:jc w:val="center"/>
        </w:trPr>
        <w:tc>
          <w:tcPr>
            <w:tcW w:w="185"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812" w:type="pct"/>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丈八四路立交</w:t>
            </w:r>
          </w:p>
        </w:tc>
        <w:tc>
          <w:tcPr>
            <w:tcW w:w="686" w:type="pct"/>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临时生活区</w:t>
            </w:r>
          </w:p>
        </w:tc>
        <w:tc>
          <w:tcPr>
            <w:tcW w:w="480" w:type="pct"/>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664" w:type="pct"/>
            <w:vAlign w:val="center"/>
          </w:tcPr>
          <w:p>
            <w:pPr>
              <w:spacing w:line="240" w:lineRule="auto"/>
              <w:ind w:firstLine="0" w:firstLineChars="0"/>
              <w:jc w:val="center"/>
              <w:rPr>
                <w:rFonts w:hint="eastAsia" w:eastAsia="仿宋"/>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2171"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生活污水经化粪池</w:t>
            </w:r>
            <w:r>
              <w:rPr>
                <w:rFonts w:hint="eastAsia"/>
                <w:color w:val="000000" w:themeColor="text1"/>
                <w:sz w:val="21"/>
                <w:szCs w:val="21"/>
                <w:lang w:eastAsia="zh-CN"/>
                <w14:textFill>
                  <w14:solidFill>
                    <w14:schemeClr w14:val="tx1"/>
                  </w14:solidFill>
                </w14:textFill>
              </w:rPr>
              <w:t>排入市政管网，不外排</w:t>
            </w: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58" w:hRule="atLeast"/>
          <w:jc w:val="center"/>
        </w:trPr>
        <w:tc>
          <w:tcPr>
            <w:tcW w:w="185"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w:t>
            </w:r>
          </w:p>
        </w:tc>
        <w:tc>
          <w:tcPr>
            <w:tcW w:w="812" w:type="pct"/>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雁塔路立交</w:t>
            </w:r>
          </w:p>
        </w:tc>
        <w:tc>
          <w:tcPr>
            <w:tcW w:w="686" w:type="pct"/>
            <w:vAlign w:val="center"/>
          </w:tcPr>
          <w:p>
            <w:pPr>
              <w:spacing w:line="240" w:lineRule="auto"/>
              <w:ind w:firstLine="0" w:firstLineChars="0"/>
              <w:jc w:val="center"/>
              <w:rPr>
                <w:rFonts w:hint="eastAsia" w:ascii="Times New Roman" w:hAnsi="Times New Roman" w:eastAsia="仿宋"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eastAsia="zh-CN"/>
                <w14:textFill>
                  <w14:solidFill>
                    <w14:schemeClr w14:val="tx1"/>
                  </w14:solidFill>
                </w14:textFill>
              </w:rPr>
              <w:t>临时生活区</w:t>
            </w:r>
          </w:p>
        </w:tc>
        <w:tc>
          <w:tcPr>
            <w:tcW w:w="480" w:type="pct"/>
            <w:vAlign w:val="center"/>
          </w:tcPr>
          <w:p>
            <w:pPr>
              <w:spacing w:line="240" w:lineRule="auto"/>
              <w:ind w:firstLine="0" w:firstLineChars="0"/>
              <w:jc w:val="center"/>
              <w:rPr>
                <w:rFonts w:hint="eastAsia" w:ascii="Times New Roman" w:hAnsi="Times New Roman" w:eastAsia="仿宋"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664" w:type="pct"/>
            <w:vAlign w:val="center"/>
          </w:tcPr>
          <w:p>
            <w:pPr>
              <w:spacing w:line="240" w:lineRule="auto"/>
              <w:ind w:firstLine="0" w:firstLineChars="0"/>
              <w:jc w:val="center"/>
              <w:rPr>
                <w:rFonts w:hint="eastAsia" w:eastAsia="仿宋"/>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2171"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生活污水经化粪池</w:t>
            </w:r>
            <w:r>
              <w:rPr>
                <w:rFonts w:hint="eastAsia"/>
                <w:color w:val="000000" w:themeColor="text1"/>
                <w:sz w:val="21"/>
                <w:szCs w:val="21"/>
                <w:lang w:eastAsia="zh-CN"/>
                <w14:textFill>
                  <w14:solidFill>
                    <w14:schemeClr w14:val="tx1"/>
                  </w14:solidFill>
                </w14:textFill>
              </w:rPr>
              <w:t>排入市政管网，不外排</w:t>
            </w: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58" w:hRule="atLeast"/>
          <w:jc w:val="center"/>
        </w:trPr>
        <w:tc>
          <w:tcPr>
            <w:tcW w:w="185"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w:t>
            </w:r>
          </w:p>
        </w:tc>
        <w:tc>
          <w:tcPr>
            <w:tcW w:w="812" w:type="pct"/>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收费站</w:t>
            </w:r>
          </w:p>
        </w:tc>
        <w:tc>
          <w:tcPr>
            <w:tcW w:w="686" w:type="pct"/>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田王收费站</w:t>
            </w:r>
          </w:p>
        </w:tc>
        <w:tc>
          <w:tcPr>
            <w:tcW w:w="480" w:type="pct"/>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灞河</w:t>
            </w:r>
          </w:p>
        </w:tc>
        <w:tc>
          <w:tcPr>
            <w:tcW w:w="664" w:type="pct"/>
            <w:vAlign w:val="center"/>
          </w:tcPr>
          <w:p>
            <w:pPr>
              <w:widowControl/>
              <w:spacing w:line="240" w:lineRule="auto"/>
              <w:ind w:firstLine="0" w:firstLineChars="0"/>
              <w:jc w:val="center"/>
              <w:rPr>
                <w:rFonts w:hint="default" w:eastAsia="仿宋"/>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A/O系统</w:t>
            </w:r>
          </w:p>
        </w:tc>
        <w:tc>
          <w:tcPr>
            <w:tcW w:w="2171" w:type="pct"/>
            <w:vAlign w:val="center"/>
          </w:tcPr>
          <w:p>
            <w:pPr>
              <w:widowControl/>
              <w:spacing w:line="240" w:lineRule="auto"/>
              <w:ind w:firstLine="0" w:firstLineChars="0"/>
              <w:jc w:val="center"/>
              <w:rPr>
                <w:color w:val="000000" w:themeColor="text1"/>
                <w:kern w:val="0"/>
                <w:sz w:val="21"/>
                <w:szCs w:val="21"/>
                <w14:textFill>
                  <w14:solidFill>
                    <w14:schemeClr w14:val="tx1"/>
                  </w14:solidFill>
                </w14:textFill>
              </w:rPr>
            </w:pPr>
            <w:r>
              <w:rPr>
                <w:color w:val="000000" w:themeColor="text1"/>
                <w:sz w:val="21"/>
                <w:szCs w:val="21"/>
                <w14:textFill>
                  <w14:solidFill>
                    <w14:schemeClr w14:val="tx1"/>
                  </w14:solidFill>
                </w14:textFill>
              </w:rPr>
              <w:t>生活污水经化粪池+生化处理装置处理后</w:t>
            </w:r>
            <w:r>
              <w:rPr>
                <w:rFonts w:hint="eastAsia"/>
                <w:color w:val="000000" w:themeColor="text1"/>
                <w:sz w:val="21"/>
                <w:szCs w:val="21"/>
                <w:lang w:eastAsia="zh-CN"/>
                <w14:textFill>
                  <w14:solidFill>
                    <w14:schemeClr w14:val="tx1"/>
                  </w14:solidFill>
                </w14:textFill>
              </w:rPr>
              <w:t>排入市政管网，不外排</w:t>
            </w: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655" w:hRule="atLeast"/>
          <w:jc w:val="center"/>
        </w:trPr>
        <w:tc>
          <w:tcPr>
            <w:tcW w:w="185" w:type="pct"/>
            <w:vAlign w:val="center"/>
          </w:tcPr>
          <w:p>
            <w:pPr>
              <w:spacing w:line="240" w:lineRule="auto"/>
              <w:ind w:firstLine="0" w:firstLineChars="0"/>
              <w:jc w:val="center"/>
              <w:rPr>
                <w:rFonts w:ascii="Times New Roman" w:hAnsi="Times New Roman" w:eastAsia="仿宋" w:cs="Times New Roman"/>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4</w:t>
            </w:r>
          </w:p>
        </w:tc>
        <w:tc>
          <w:tcPr>
            <w:tcW w:w="812" w:type="pct"/>
            <w:vAlign w:val="center"/>
          </w:tcPr>
          <w:p>
            <w:pPr>
              <w:spacing w:line="240" w:lineRule="auto"/>
              <w:ind w:firstLine="0" w:firstLineChars="0"/>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收费站</w:t>
            </w:r>
          </w:p>
        </w:tc>
        <w:tc>
          <w:tcPr>
            <w:tcW w:w="686" w:type="pct"/>
            <w:vAlign w:val="center"/>
          </w:tcPr>
          <w:p>
            <w:pPr>
              <w:spacing w:line="240" w:lineRule="auto"/>
              <w:ind w:firstLine="0" w:firstLineChars="0"/>
              <w:jc w:val="center"/>
              <w:rPr>
                <w:rFonts w:hint="eastAsia"/>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西咸新区收费站</w:t>
            </w:r>
          </w:p>
        </w:tc>
        <w:tc>
          <w:tcPr>
            <w:tcW w:w="480" w:type="pct"/>
            <w:vAlign w:val="center"/>
          </w:tcPr>
          <w:p>
            <w:pPr>
              <w:spacing w:line="240" w:lineRule="auto"/>
              <w:ind w:firstLine="0" w:firstLineChars="0"/>
              <w:jc w:val="center"/>
              <w:rPr>
                <w:rFonts w:hint="eastAsia"/>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太平河</w:t>
            </w:r>
          </w:p>
        </w:tc>
        <w:tc>
          <w:tcPr>
            <w:tcW w:w="664" w:type="pct"/>
            <w:vAlign w:val="center"/>
          </w:tcPr>
          <w:p>
            <w:pPr>
              <w:widowControl/>
              <w:spacing w:line="240" w:lineRule="auto"/>
              <w:ind w:firstLine="0" w:firstLineChars="0"/>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2171" w:type="pct"/>
            <w:vAlign w:val="center"/>
          </w:tcPr>
          <w:p>
            <w:pPr>
              <w:widowControl/>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生活污水经化粪池</w:t>
            </w:r>
            <w:r>
              <w:rPr>
                <w:rFonts w:hint="eastAsia"/>
                <w:color w:val="000000" w:themeColor="text1"/>
                <w:sz w:val="21"/>
                <w:szCs w:val="21"/>
                <w:lang w:eastAsia="zh-CN"/>
                <w14:textFill>
                  <w14:solidFill>
                    <w14:schemeClr w14:val="tx1"/>
                  </w14:solidFill>
                </w14:textFill>
              </w:rPr>
              <w:t>排入市政管网，不外排</w:t>
            </w: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783" w:hRule="atLeast"/>
          <w:jc w:val="center"/>
        </w:trPr>
        <w:tc>
          <w:tcPr>
            <w:tcW w:w="185" w:type="pct"/>
            <w:vAlign w:val="center"/>
          </w:tcPr>
          <w:p>
            <w:pPr>
              <w:spacing w:line="240" w:lineRule="auto"/>
              <w:ind w:firstLine="0" w:firstLineChars="0"/>
              <w:jc w:val="center"/>
              <w:rPr>
                <w:rFonts w:hint="eastAsia" w:eastAsia="仿宋"/>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5</w:t>
            </w:r>
          </w:p>
        </w:tc>
        <w:tc>
          <w:tcPr>
            <w:tcW w:w="812" w:type="pct"/>
            <w:vAlign w:val="center"/>
          </w:tcPr>
          <w:p>
            <w:pPr>
              <w:spacing w:line="240" w:lineRule="auto"/>
              <w:ind w:firstLine="0" w:firstLineChars="0"/>
              <w:jc w:val="center"/>
              <w:rPr>
                <w:rFonts w:hint="eastAsia" w:ascii="Times New Roman" w:hAnsi="Times New Roman" w:eastAsia="仿宋"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eastAsia="zh-CN"/>
                <w14:textFill>
                  <w14:solidFill>
                    <w14:schemeClr w14:val="tx1"/>
                  </w14:solidFill>
                </w14:textFill>
              </w:rPr>
              <w:t>收费站</w:t>
            </w:r>
          </w:p>
        </w:tc>
        <w:tc>
          <w:tcPr>
            <w:tcW w:w="686" w:type="pct"/>
            <w:vAlign w:val="center"/>
          </w:tcPr>
          <w:p>
            <w:pPr>
              <w:spacing w:line="240" w:lineRule="auto"/>
              <w:ind w:firstLine="0" w:firstLineChars="0"/>
              <w:jc w:val="center"/>
              <w:rPr>
                <w:rFonts w:hint="eastAsia" w:ascii="Times New Roman" w:hAnsi="Times New Roman" w:eastAsia="仿宋"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eastAsia="zh-CN"/>
                <w14:textFill>
                  <w14:solidFill>
                    <w14:schemeClr w14:val="tx1"/>
                  </w14:solidFill>
                </w14:textFill>
              </w:rPr>
              <w:t>秦汉收费站</w:t>
            </w:r>
          </w:p>
        </w:tc>
        <w:tc>
          <w:tcPr>
            <w:tcW w:w="480" w:type="pct"/>
            <w:vAlign w:val="center"/>
          </w:tcPr>
          <w:p>
            <w:pPr>
              <w:spacing w:line="240" w:lineRule="auto"/>
              <w:ind w:firstLine="0" w:firstLineChars="0"/>
              <w:jc w:val="center"/>
              <w:rPr>
                <w:rFonts w:hint="eastAsia" w:ascii="Times New Roman" w:hAnsi="Times New Roman" w:eastAsia="仿宋" w:cs="Times New Roman"/>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渭河</w:t>
            </w:r>
          </w:p>
        </w:tc>
        <w:tc>
          <w:tcPr>
            <w:tcW w:w="664" w:type="pct"/>
            <w:vAlign w:val="center"/>
          </w:tcPr>
          <w:p>
            <w:pPr>
              <w:widowControl/>
              <w:spacing w:line="240" w:lineRule="auto"/>
              <w:ind w:firstLine="0" w:firstLineChars="0"/>
              <w:jc w:val="center"/>
              <w:rPr>
                <w:rFonts w:hint="default"/>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w:t>
            </w:r>
          </w:p>
        </w:tc>
        <w:tc>
          <w:tcPr>
            <w:tcW w:w="2171" w:type="pct"/>
            <w:vAlign w:val="center"/>
          </w:tcPr>
          <w:p>
            <w:pPr>
              <w:widowControl/>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生活污水经化粪池</w:t>
            </w:r>
            <w:r>
              <w:rPr>
                <w:rFonts w:hint="eastAsia"/>
                <w:color w:val="000000" w:themeColor="text1"/>
                <w:sz w:val="21"/>
                <w:szCs w:val="21"/>
                <w:lang w:eastAsia="zh-CN"/>
                <w14:textFill>
                  <w14:solidFill>
                    <w14:schemeClr w14:val="tx1"/>
                  </w14:solidFill>
                </w14:textFill>
              </w:rPr>
              <w:t>排入市政管网，不外排</w:t>
            </w:r>
            <w:r>
              <w:rPr>
                <w:color w:val="000000" w:themeColor="text1"/>
                <w:sz w:val="21"/>
                <w:szCs w:val="21"/>
                <w14:textFill>
                  <w14:solidFill>
                    <w14:schemeClr w14:val="tx1"/>
                  </w14:solidFill>
                </w14:textFill>
              </w:rPr>
              <w:t>。</w:t>
            </w:r>
          </w:p>
        </w:tc>
      </w:tr>
      <w:bookmarkEnd w:id="71"/>
    </w:tbl>
    <w:p>
      <w:pPr>
        <w:ind w:firstLine="562"/>
        <w:rPr>
          <w:b/>
          <w:bCs/>
          <w:color w:val="000000" w:themeColor="text1"/>
          <w14:textFill>
            <w14:solidFill>
              <w14:schemeClr w14:val="tx1"/>
            </w14:solidFill>
          </w14:textFill>
        </w:rPr>
      </w:pPr>
      <w:r>
        <w:rPr>
          <w:b/>
          <w:bCs/>
          <w:color w:val="000000" w:themeColor="text1"/>
          <w14:textFill>
            <w14:solidFill>
              <w14:schemeClr w14:val="tx1"/>
            </w14:solidFill>
          </w14:textFill>
        </w:rPr>
        <w:t>（2）废气产生及治理情况</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项目</w:t>
      </w:r>
      <w:r>
        <w:rPr>
          <w:rFonts w:hint="eastAsia"/>
          <w:color w:val="000000" w:themeColor="text1"/>
          <w:lang w:val="en-US" w:eastAsia="zh-CN"/>
          <w14:textFill>
            <w14:solidFill>
              <w14:schemeClr w14:val="tx1"/>
            </w14:solidFill>
          </w14:textFill>
        </w:rPr>
        <w:t>3处</w:t>
      </w:r>
      <w:r>
        <w:rPr>
          <w:rFonts w:hint="eastAsia"/>
          <w:color w:val="000000" w:themeColor="text1"/>
          <w:lang w:eastAsia="zh-CN"/>
          <w14:textFill>
            <w14:solidFill>
              <w14:schemeClr w14:val="tx1"/>
            </w14:solidFill>
          </w14:textFill>
        </w:rPr>
        <w:t>收费站均采用空气能供暖</w:t>
      </w:r>
      <w:r>
        <w:rPr>
          <w:color w:val="000000" w:themeColor="text1"/>
          <w14:textFill>
            <w14:solidFill>
              <w14:schemeClr w14:val="tx1"/>
            </w14:solidFill>
          </w14:textFill>
        </w:rPr>
        <w:t>，不产生新的大气污染。对收费站配套的餐厅、厨</w:t>
      </w:r>
      <w:r>
        <w:rPr>
          <w:color w:val="auto"/>
          <w:highlight w:val="none"/>
        </w:rPr>
        <w:t>房</w:t>
      </w:r>
      <w:r>
        <w:rPr>
          <w:color w:val="auto"/>
          <w:highlight w:val="none"/>
          <w:shd w:val="clear" w:color="auto" w:fill="auto"/>
        </w:rPr>
        <w:t>采用</w:t>
      </w:r>
      <w:r>
        <w:rPr>
          <w:rFonts w:hint="eastAsia"/>
          <w:color w:val="auto"/>
          <w:highlight w:val="none"/>
          <w:shd w:val="clear" w:color="auto" w:fill="auto"/>
          <w:lang w:val="en-US" w:eastAsia="zh-CN"/>
        </w:rPr>
        <w:t>天然气</w:t>
      </w:r>
      <w:r>
        <w:rPr>
          <w:color w:val="auto"/>
          <w:highlight w:val="none"/>
          <w:shd w:val="clear" w:color="auto" w:fill="auto"/>
        </w:rPr>
        <w:t>燃料</w:t>
      </w:r>
      <w:r>
        <w:rPr>
          <w:color w:val="000000" w:themeColor="text1"/>
          <w14:textFill>
            <w14:solidFill>
              <w14:schemeClr w14:val="tx1"/>
            </w14:solidFill>
          </w14:textFill>
        </w:rPr>
        <w:t>，餐厅加装油烟净化器，排放油烟满足《饮食业油烟排放标准》（试行）规定的中型最高允许排放浓度2.0mg/m</w:t>
      </w:r>
      <w:r>
        <w:rPr>
          <w:color w:val="000000" w:themeColor="text1"/>
          <w:vertAlign w:val="superscript"/>
          <w14:textFill>
            <w14:solidFill>
              <w14:schemeClr w14:val="tx1"/>
            </w14:solidFill>
          </w14:textFill>
        </w:rPr>
        <w:t>3</w:t>
      </w:r>
      <w:r>
        <w:rPr>
          <w:color w:val="000000" w:themeColor="text1"/>
          <w14:textFill>
            <w14:solidFill>
              <w14:schemeClr w14:val="tx1"/>
            </w14:solidFill>
          </w14:textFill>
        </w:rPr>
        <w:t>、净化设施最低去除率为</w:t>
      </w:r>
      <w:r>
        <w:rPr>
          <w:rFonts w:hint="eastAsia"/>
          <w:color w:val="000000" w:themeColor="text1"/>
          <w:lang w:val="en-US" w:eastAsia="zh-CN"/>
          <w14:textFill>
            <w14:solidFill>
              <w14:schemeClr w14:val="tx1"/>
            </w14:solidFill>
          </w14:textFill>
        </w:rPr>
        <w:t>60</w:t>
      </w:r>
      <w:r>
        <w:rPr>
          <w:color w:val="000000" w:themeColor="text1"/>
          <w14:textFill>
            <w14:solidFill>
              <w14:schemeClr w14:val="tx1"/>
            </w14:solidFill>
          </w14:textFill>
        </w:rPr>
        <w:t>%的基本要求。</w:t>
      </w:r>
    </w:p>
    <w:p>
      <w:pPr>
        <w:ind w:firstLine="562"/>
        <w:rPr>
          <w:b/>
          <w:bCs/>
          <w:color w:val="000000" w:themeColor="text1"/>
          <w14:textFill>
            <w14:solidFill>
              <w14:schemeClr w14:val="tx1"/>
            </w14:solidFill>
          </w14:textFill>
        </w:rPr>
      </w:pPr>
      <w:bookmarkStart w:id="72" w:name="_Toc503252851"/>
      <w:bookmarkEnd w:id="72"/>
      <w:bookmarkStart w:id="73" w:name="_Toc503252659"/>
      <w:r>
        <w:rPr>
          <w:b/>
          <w:bCs/>
          <w:color w:val="000000" w:themeColor="text1"/>
          <w14:textFill>
            <w14:solidFill>
              <w14:schemeClr w14:val="tx1"/>
            </w14:solidFill>
          </w14:textFill>
        </w:rPr>
        <w:t>（3）</w:t>
      </w:r>
      <w:bookmarkEnd w:id="73"/>
      <w:r>
        <w:rPr>
          <w:b/>
          <w:bCs/>
          <w:color w:val="000000" w:themeColor="text1"/>
          <w14:textFill>
            <w14:solidFill>
              <w14:schemeClr w14:val="tx1"/>
            </w14:solidFill>
          </w14:textFill>
        </w:rPr>
        <w:t>固体废物产生及治理情况</w:t>
      </w:r>
    </w:p>
    <w:p>
      <w:pPr>
        <w:ind w:firstLine="560"/>
        <w:rPr>
          <w:bCs/>
          <w:color w:val="000000" w:themeColor="text1"/>
          <w14:textFill>
            <w14:solidFill>
              <w14:schemeClr w14:val="tx1"/>
            </w14:solidFill>
          </w14:textFill>
        </w:rPr>
      </w:pPr>
      <w:r>
        <w:rPr>
          <w:rFonts w:hint="eastAsia"/>
          <w:color w:val="000000" w:themeColor="text1"/>
          <w14:textFill>
            <w14:solidFill>
              <w14:schemeClr w14:val="tx1"/>
            </w14:solidFill>
          </w14:textFill>
        </w:rPr>
        <w:t>营运期固体废物主要来源于收费站及</w:t>
      </w:r>
      <w:r>
        <w:rPr>
          <w:rFonts w:hint="eastAsia"/>
          <w:color w:val="000000" w:themeColor="text1"/>
          <w:lang w:eastAsia="zh-CN"/>
          <w14:textFill>
            <w14:solidFill>
              <w14:schemeClr w14:val="tx1"/>
            </w14:solidFill>
          </w14:textFill>
        </w:rPr>
        <w:t>临时生活区</w:t>
      </w:r>
      <w:r>
        <w:rPr>
          <w:rFonts w:hint="eastAsia"/>
          <w:color w:val="000000" w:themeColor="text1"/>
          <w14:textFill>
            <w14:solidFill>
              <w14:schemeClr w14:val="tx1"/>
            </w14:solidFill>
          </w14:textFill>
        </w:rPr>
        <w:t>垃圾，</w:t>
      </w:r>
      <w:r>
        <w:rPr>
          <w:color w:val="000000" w:themeColor="text1"/>
          <w14:textFill>
            <w14:solidFill>
              <w14:schemeClr w14:val="tx1"/>
            </w14:solidFill>
          </w14:textFill>
        </w:rPr>
        <w:t>如：废弃纸张、生活垃圾、塑料制品等。</w:t>
      </w:r>
      <w:r>
        <w:rPr>
          <w:bCs/>
          <w:color w:val="000000" w:themeColor="text1"/>
          <w14:textFill>
            <w14:solidFill>
              <w14:schemeClr w14:val="tx1"/>
            </w14:solidFill>
          </w14:textFill>
        </w:rPr>
        <w:t>场地垃圾分类收集，运至就近的垃圾排放体系统一处理。</w:t>
      </w:r>
    </w:p>
    <w:p>
      <w:pPr>
        <w:pStyle w:val="10"/>
        <w:ind w:firstLine="321"/>
        <w:rPr>
          <w:color w:val="000000" w:themeColor="text1"/>
          <w14:textFill>
            <w14:solidFill>
              <w14:schemeClr w14:val="tx1"/>
            </w14:solidFill>
          </w14:textFill>
        </w:rPr>
      </w:pPr>
      <w:bookmarkStart w:id="74" w:name="_Toc47541599"/>
      <w:bookmarkEnd w:id="74"/>
      <w:bookmarkStart w:id="75" w:name="_Toc69739733"/>
      <w:bookmarkStart w:id="76" w:name="_Toc80973307"/>
      <w:r>
        <w:rPr>
          <w:color w:val="000000" w:themeColor="text1"/>
          <w14:textFill>
            <w14:solidFill>
              <w14:schemeClr w14:val="tx1"/>
            </w14:solidFill>
          </w14:textFill>
        </w:rPr>
        <w:t>3.2 企业周边环境风险受体</w:t>
      </w:r>
      <w:bookmarkEnd w:id="75"/>
      <w:bookmarkEnd w:id="76"/>
    </w:p>
    <w:p>
      <w:pPr>
        <w:ind w:firstLine="562"/>
        <w:rPr>
          <w:b/>
          <w:bCs/>
          <w:color w:val="000000" w:themeColor="text1"/>
          <w:szCs w:val="22"/>
          <w14:textFill>
            <w14:solidFill>
              <w14:schemeClr w14:val="tx1"/>
            </w14:solidFill>
          </w14:textFill>
        </w:rPr>
      </w:pPr>
      <w:bookmarkStart w:id="77" w:name="_Hlk6983343"/>
      <w:bookmarkEnd w:id="77"/>
      <w:bookmarkStart w:id="78" w:name="_Toc69739734"/>
      <w:r>
        <w:rPr>
          <w:b/>
          <w:bCs/>
          <w:color w:val="000000" w:themeColor="text1"/>
          <w:szCs w:val="22"/>
          <w14:textFill>
            <w14:solidFill>
              <w14:schemeClr w14:val="tx1"/>
            </w14:solidFill>
          </w14:textFill>
        </w:rPr>
        <w:t>（1）大气环境风险受体</w:t>
      </w:r>
    </w:p>
    <w:p>
      <w:pPr>
        <w:ind w:firstLine="560"/>
        <w:rPr>
          <w:color w:val="000000" w:themeColor="text1"/>
          <w:szCs w:val="22"/>
          <w14:textFill>
            <w14:solidFill>
              <w14:schemeClr w14:val="tx1"/>
            </w14:solidFill>
          </w14:textFill>
        </w:rPr>
      </w:pPr>
      <w:r>
        <w:rPr>
          <w:color w:val="000000" w:themeColor="text1"/>
          <w:szCs w:val="22"/>
          <w14:textFill>
            <w14:solidFill>
              <w14:schemeClr w14:val="tx1"/>
            </w14:solidFill>
          </w14:textFill>
        </w:rPr>
        <w:t>本项目大气环境风险受体如下表所示。</w:t>
      </w:r>
    </w:p>
    <w:p>
      <w:pPr>
        <w:spacing w:line="240" w:lineRule="auto"/>
        <w:ind w:firstLine="0" w:firstLineChars="0"/>
        <w:jc w:val="center"/>
        <w:rPr>
          <w:b/>
          <w:color w:val="000000" w:themeColor="text1"/>
          <w:sz w:val="21"/>
          <w:szCs w:val="21"/>
          <w14:textFill>
            <w14:solidFill>
              <w14:schemeClr w14:val="tx1"/>
            </w14:solidFill>
          </w14:textFill>
        </w:rPr>
      </w:pPr>
      <w:r>
        <w:rPr>
          <w:b/>
          <w:color w:val="000000" w:themeColor="text1"/>
          <w:sz w:val="21"/>
          <w:szCs w:val="21"/>
          <w14:textFill>
            <w14:solidFill>
              <w14:schemeClr w14:val="tx1"/>
            </w14:solidFill>
          </w14:textFill>
        </w:rPr>
        <w:t xml:space="preserve">表3-5  </w:t>
      </w:r>
      <w:r>
        <w:rPr>
          <w:rFonts w:hint="eastAsia"/>
          <w:b/>
          <w:color w:val="000000" w:themeColor="text1"/>
          <w:sz w:val="21"/>
          <w:szCs w:val="21"/>
          <w:lang w:eastAsia="zh-CN"/>
          <w14:textFill>
            <w14:solidFill>
              <w14:schemeClr w14:val="tx1"/>
            </w14:solidFill>
          </w14:textFill>
        </w:rPr>
        <w:t>公路两侧</w:t>
      </w:r>
      <w:r>
        <w:rPr>
          <w:b/>
          <w:color w:val="000000" w:themeColor="text1"/>
          <w:sz w:val="21"/>
          <w:szCs w:val="21"/>
          <w14:textFill>
            <w14:solidFill>
              <w14:schemeClr w14:val="tx1"/>
            </w14:solidFill>
          </w14:textFill>
        </w:rPr>
        <w:t>大气环境风险受体</w:t>
      </w:r>
    </w:p>
    <w:tbl>
      <w:tblPr>
        <w:tblStyle w:val="22"/>
        <w:tblW w:w="5000"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55"/>
        <w:gridCol w:w="1512"/>
        <w:gridCol w:w="1992"/>
        <w:gridCol w:w="2718"/>
        <w:gridCol w:w="197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6" w:hRule="atLeast"/>
          <w:tblHeader/>
        </w:trPr>
        <w:tc>
          <w:tcPr>
            <w:tcW w:w="421"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序号</w:t>
            </w:r>
          </w:p>
        </w:tc>
        <w:tc>
          <w:tcPr>
            <w:tcW w:w="844"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名称</w:t>
            </w:r>
          </w:p>
        </w:tc>
        <w:tc>
          <w:tcPr>
            <w:tcW w:w="1113"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桩号</w:t>
            </w:r>
          </w:p>
        </w:tc>
        <w:tc>
          <w:tcPr>
            <w:tcW w:w="1518"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方位/距</w:t>
            </w:r>
            <w:r>
              <w:rPr>
                <w:rFonts w:hint="default" w:ascii="Times New Roman" w:hAnsi="Times New Roman" w:cs="Times New Roman"/>
                <w:color w:val="000000" w:themeColor="text1"/>
                <w:sz w:val="21"/>
                <w:szCs w:val="21"/>
                <w:lang w:eastAsia="zh-CN"/>
                <w14:textFill>
                  <w14:solidFill>
                    <w14:schemeClr w14:val="tx1"/>
                  </w14:solidFill>
                </w14:textFill>
              </w:rPr>
              <w:t>匝道</w:t>
            </w:r>
            <w:r>
              <w:rPr>
                <w:rFonts w:hint="default" w:ascii="Times New Roman" w:hAnsi="Times New Roman" w:cs="Times New Roman"/>
                <w:color w:val="000000" w:themeColor="text1"/>
                <w:sz w:val="21"/>
                <w:szCs w:val="21"/>
                <w14:textFill>
                  <w14:solidFill>
                    <w14:schemeClr w14:val="tx1"/>
                  </w14:solidFill>
                </w14:textFill>
              </w:rPr>
              <w:t>最近距离（m）</w:t>
            </w:r>
          </w:p>
        </w:tc>
        <w:tc>
          <w:tcPr>
            <w:tcW w:w="1100"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人数</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421"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1</w:t>
            </w:r>
          </w:p>
        </w:tc>
        <w:tc>
          <w:tcPr>
            <w:tcW w:w="844" w:type="pct"/>
            <w:vMerge w:val="restar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000000"/>
                <w:kern w:val="2"/>
                <w:sz w:val="21"/>
                <w:szCs w:val="21"/>
                <w:vertAlign w:val="baseline"/>
                <w:lang w:val="en-US" w:eastAsia="zh-CN" w:bidi="ar-SA"/>
              </w:rPr>
            </w:pPr>
            <w:r>
              <w:rPr>
                <w:rFonts w:hint="default" w:ascii="Times New Roman" w:hAnsi="Times New Roman" w:cs="Times New Roman"/>
                <w:b w:val="0"/>
                <w:bCs w:val="0"/>
                <w:color w:val="000000"/>
                <w:sz w:val="21"/>
                <w:szCs w:val="21"/>
                <w:vertAlign w:val="baseline"/>
                <w:lang w:val="en-US" w:eastAsia="zh-CN"/>
              </w:rPr>
              <w:t>丈八四路立交</w:t>
            </w:r>
          </w:p>
        </w:tc>
        <w:tc>
          <w:tcPr>
            <w:tcW w:w="111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000000"/>
                <w:kern w:val="2"/>
                <w:sz w:val="21"/>
                <w:szCs w:val="21"/>
                <w:vertAlign w:val="baseline"/>
                <w:lang w:val="en-US" w:eastAsia="zh-CN" w:bidi="ar-SA"/>
              </w:rPr>
            </w:pPr>
            <w:r>
              <w:rPr>
                <w:rFonts w:hint="default" w:ascii="Times New Roman" w:hAnsi="Times New Roman" w:cs="Times New Roman"/>
                <w:b w:val="0"/>
                <w:bCs w:val="0"/>
                <w:color w:val="000000"/>
                <w:sz w:val="21"/>
                <w:szCs w:val="21"/>
                <w:vertAlign w:val="baseline"/>
                <w:lang w:val="en-US" w:eastAsia="zh-CN"/>
              </w:rPr>
              <w:t>87130空军部队</w:t>
            </w:r>
          </w:p>
        </w:tc>
        <w:tc>
          <w:tcPr>
            <w:tcW w:w="151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val="en-US" w:eastAsia="zh-CN"/>
              </w:rPr>
            </w:pPr>
            <w:r>
              <w:rPr>
                <w:rFonts w:hint="default" w:ascii="Times New Roman" w:hAnsi="Times New Roman" w:cs="Times New Roman"/>
                <w:b w:val="0"/>
                <w:bCs w:val="0"/>
                <w:color w:val="000000"/>
                <w:sz w:val="21"/>
                <w:szCs w:val="21"/>
                <w:vertAlign w:val="baseline"/>
                <w:lang w:val="en-US" w:eastAsia="zh-CN"/>
              </w:rPr>
              <w:t>绕城南段路北，</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val="en-US" w:eastAsia="zh-CN"/>
              </w:rPr>
            </w:pPr>
            <w:r>
              <w:rPr>
                <w:rFonts w:hint="default" w:ascii="Times New Roman" w:hAnsi="Times New Roman" w:cs="Times New Roman"/>
                <w:b w:val="0"/>
                <w:bCs w:val="0"/>
                <w:color w:val="000000"/>
                <w:sz w:val="21"/>
                <w:szCs w:val="21"/>
                <w:vertAlign w:val="baseline"/>
                <w:lang w:val="en-US" w:eastAsia="zh-CN"/>
              </w:rPr>
              <w:t xml:space="preserve">距 B匝道：56/62m </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color w:val="000000"/>
                <w:kern w:val="2"/>
                <w:sz w:val="21"/>
                <w:szCs w:val="21"/>
                <w:vertAlign w:val="baseline"/>
                <w:lang w:val="en-US" w:eastAsia="zh-CN" w:bidi="ar-SA"/>
              </w:rPr>
            </w:pPr>
            <w:r>
              <w:rPr>
                <w:rFonts w:hint="default" w:ascii="Times New Roman" w:hAnsi="Times New Roman" w:cs="Times New Roman"/>
                <w:b w:val="0"/>
                <w:bCs w:val="0"/>
                <w:color w:val="000000"/>
                <w:sz w:val="21"/>
                <w:szCs w:val="21"/>
                <w:vertAlign w:val="baseline"/>
                <w:lang w:val="en-US" w:eastAsia="zh-CN"/>
              </w:rPr>
              <w:t xml:space="preserve">距 C匝道：169/175m </w:t>
            </w:r>
          </w:p>
        </w:tc>
        <w:tc>
          <w:tcPr>
            <w:tcW w:w="1100"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周边约</w:t>
            </w:r>
            <w:r>
              <w:rPr>
                <w:rFonts w:hint="eastAsia" w:ascii="Times New Roman" w:hAnsi="Times New Roman" w:cs="Times New Roman"/>
                <w:color w:val="000000" w:themeColor="text1"/>
                <w:sz w:val="21"/>
                <w:szCs w:val="21"/>
                <w:lang w:val="en-US" w:eastAsia="zh-CN"/>
                <w14:textFill>
                  <w14:solidFill>
                    <w14:schemeClr w14:val="tx1"/>
                  </w14:solidFill>
                </w14:textFill>
              </w:rPr>
              <w:t>15</w:t>
            </w:r>
            <w:r>
              <w:rPr>
                <w:rFonts w:hint="default" w:ascii="Times New Roman" w:hAnsi="Times New Roman" w:cs="Times New Roman"/>
                <w:color w:val="000000" w:themeColor="text1"/>
                <w:sz w:val="21"/>
                <w:szCs w:val="21"/>
                <w:lang w:val="en-US" w:eastAsia="zh-CN"/>
                <w14:textFill>
                  <w14:solidFill>
                    <w14:schemeClr w14:val="tx1"/>
                  </w14:solidFill>
                </w14:textFill>
              </w:rPr>
              <w:t>00</w:t>
            </w:r>
            <w:r>
              <w:rPr>
                <w:rFonts w:hint="default" w:ascii="Times New Roman" w:hAnsi="Times New Roman" w:cs="Times New Roman"/>
                <w:color w:val="000000" w:themeColor="text1"/>
                <w:sz w:val="21"/>
                <w:szCs w:val="21"/>
                <w14:textFill>
                  <w14:solidFill>
                    <w14:schemeClr w14:val="tx1"/>
                  </w14:solidFill>
                </w14:textFill>
              </w:rPr>
              <w:t>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421"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2</w:t>
            </w:r>
          </w:p>
        </w:tc>
        <w:tc>
          <w:tcPr>
            <w:tcW w:w="844" w:type="pct"/>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color w:val="000000"/>
                <w:kern w:val="2"/>
                <w:sz w:val="21"/>
                <w:szCs w:val="21"/>
                <w:vertAlign w:val="baseline"/>
                <w:lang w:val="en-US" w:eastAsia="zh-CN" w:bidi="ar-SA"/>
              </w:rPr>
            </w:pPr>
          </w:p>
        </w:tc>
        <w:tc>
          <w:tcPr>
            <w:tcW w:w="111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color w:val="000000"/>
                <w:kern w:val="2"/>
                <w:sz w:val="21"/>
                <w:szCs w:val="21"/>
                <w:vertAlign w:val="baseline"/>
                <w:lang w:val="en-US" w:eastAsia="zh-CN" w:bidi="ar-SA"/>
              </w:rPr>
            </w:pPr>
            <w:r>
              <w:rPr>
                <w:rFonts w:hint="default" w:ascii="Times New Roman" w:hAnsi="Times New Roman" w:cs="Times New Roman"/>
                <w:b w:val="0"/>
                <w:bCs w:val="0"/>
                <w:color w:val="000000"/>
                <w:sz w:val="21"/>
                <w:szCs w:val="21"/>
                <w:vertAlign w:val="baseline"/>
                <w:lang w:eastAsia="zh-CN"/>
              </w:rPr>
              <w:t>嘉昱大厦</w:t>
            </w:r>
          </w:p>
        </w:tc>
        <w:tc>
          <w:tcPr>
            <w:tcW w:w="151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val="en-US" w:eastAsia="zh-CN"/>
              </w:rPr>
            </w:pPr>
            <w:r>
              <w:rPr>
                <w:rFonts w:hint="default" w:ascii="Times New Roman" w:hAnsi="Times New Roman" w:cs="Times New Roman"/>
                <w:b w:val="0"/>
                <w:bCs w:val="0"/>
                <w:color w:val="000000"/>
                <w:sz w:val="21"/>
                <w:szCs w:val="21"/>
                <w:vertAlign w:val="baseline"/>
                <w:lang w:val="en-US" w:eastAsia="zh-CN"/>
              </w:rPr>
              <w:t xml:space="preserve">绕城南段路北, </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val="en-US" w:eastAsia="zh-CN"/>
              </w:rPr>
            </w:pPr>
            <w:r>
              <w:rPr>
                <w:rFonts w:hint="default" w:ascii="Times New Roman" w:hAnsi="Times New Roman" w:cs="Times New Roman"/>
                <w:b w:val="0"/>
                <w:bCs w:val="0"/>
                <w:color w:val="000000"/>
                <w:sz w:val="21"/>
                <w:szCs w:val="21"/>
                <w:vertAlign w:val="baseline"/>
                <w:lang w:val="en-US" w:eastAsia="zh-CN"/>
              </w:rPr>
              <w:t xml:space="preserve">距 A匝道:70/76m </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color w:val="000000"/>
                <w:kern w:val="2"/>
                <w:sz w:val="21"/>
                <w:szCs w:val="21"/>
                <w:vertAlign w:val="baseline"/>
                <w:lang w:val="en-US" w:eastAsia="zh-CN" w:bidi="ar-SA"/>
              </w:rPr>
            </w:pPr>
            <w:r>
              <w:rPr>
                <w:rFonts w:hint="default" w:ascii="Times New Roman" w:hAnsi="Times New Roman" w:cs="Times New Roman"/>
                <w:b w:val="0"/>
                <w:bCs w:val="0"/>
                <w:color w:val="000000"/>
                <w:sz w:val="21"/>
                <w:szCs w:val="21"/>
                <w:vertAlign w:val="baseline"/>
                <w:lang w:val="en-US" w:eastAsia="zh-CN"/>
              </w:rPr>
              <w:t xml:space="preserve">距 E匝道:138/144m </w:t>
            </w:r>
          </w:p>
        </w:tc>
        <w:tc>
          <w:tcPr>
            <w:tcW w:w="1100"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周边约</w:t>
            </w:r>
            <w:r>
              <w:rPr>
                <w:rFonts w:hint="default" w:ascii="Times New Roman" w:hAnsi="Times New Roman" w:cs="Times New Roman"/>
                <w:color w:val="000000" w:themeColor="text1"/>
                <w:sz w:val="21"/>
                <w:szCs w:val="21"/>
                <w:lang w:val="en-US" w:eastAsia="zh-CN"/>
                <w14:textFill>
                  <w14:solidFill>
                    <w14:schemeClr w14:val="tx1"/>
                  </w14:solidFill>
                </w14:textFill>
              </w:rPr>
              <w:t>1000</w:t>
            </w:r>
            <w:r>
              <w:rPr>
                <w:rFonts w:hint="default" w:ascii="Times New Roman" w:hAnsi="Times New Roman" w:cs="Times New Roman"/>
                <w:color w:val="000000" w:themeColor="text1"/>
                <w:sz w:val="21"/>
                <w:szCs w:val="21"/>
                <w14:textFill>
                  <w14:solidFill>
                    <w14:schemeClr w14:val="tx1"/>
                  </w14:solidFill>
                </w14:textFill>
              </w:rPr>
              <w:t>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421"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3</w:t>
            </w:r>
          </w:p>
        </w:tc>
        <w:tc>
          <w:tcPr>
            <w:tcW w:w="844" w:type="pct"/>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color w:val="000000"/>
                <w:kern w:val="2"/>
                <w:sz w:val="21"/>
                <w:szCs w:val="21"/>
                <w:vertAlign w:val="baseline"/>
                <w:lang w:val="en-US" w:eastAsia="zh-CN" w:bidi="ar-SA"/>
              </w:rPr>
            </w:pPr>
          </w:p>
        </w:tc>
        <w:tc>
          <w:tcPr>
            <w:tcW w:w="111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eastAsia="zh-CN"/>
              </w:rPr>
            </w:pPr>
            <w:r>
              <w:rPr>
                <w:rFonts w:hint="default" w:ascii="Times New Roman" w:hAnsi="Times New Roman" w:cs="Times New Roman"/>
                <w:b w:val="0"/>
                <w:bCs w:val="0"/>
                <w:color w:val="000000"/>
                <w:sz w:val="21"/>
                <w:szCs w:val="21"/>
                <w:vertAlign w:val="baseline"/>
                <w:lang w:eastAsia="zh-CN"/>
              </w:rPr>
              <w:t>中财型材公司</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color w:val="000000"/>
                <w:kern w:val="2"/>
                <w:sz w:val="21"/>
                <w:szCs w:val="21"/>
                <w:vertAlign w:val="baseline"/>
                <w:lang w:val="en-US" w:eastAsia="zh-CN" w:bidi="ar-SA"/>
              </w:rPr>
            </w:pPr>
            <w:r>
              <w:rPr>
                <w:rFonts w:hint="default" w:ascii="Times New Roman" w:hAnsi="Times New Roman" w:cs="Times New Roman"/>
                <w:b w:val="0"/>
                <w:bCs w:val="0"/>
                <w:color w:val="000000"/>
                <w:sz w:val="21"/>
                <w:szCs w:val="21"/>
                <w:vertAlign w:val="baseline"/>
                <w:lang w:eastAsia="zh-CN"/>
              </w:rPr>
              <w:t>办公楼</w:t>
            </w:r>
          </w:p>
        </w:tc>
        <w:tc>
          <w:tcPr>
            <w:tcW w:w="151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val="en-US" w:eastAsia="zh-CN"/>
              </w:rPr>
            </w:pPr>
            <w:r>
              <w:rPr>
                <w:rFonts w:hint="default" w:ascii="Times New Roman" w:hAnsi="Times New Roman" w:cs="Times New Roman"/>
                <w:b w:val="0"/>
                <w:bCs w:val="0"/>
                <w:color w:val="000000"/>
                <w:sz w:val="21"/>
                <w:szCs w:val="21"/>
                <w:vertAlign w:val="baseline"/>
                <w:lang w:val="en-US" w:eastAsia="zh-CN"/>
              </w:rPr>
              <w:t xml:space="preserve">绕城南段路南, </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val="en-US" w:eastAsia="zh-CN"/>
              </w:rPr>
            </w:pPr>
            <w:r>
              <w:rPr>
                <w:rFonts w:hint="default" w:ascii="Times New Roman" w:hAnsi="Times New Roman" w:cs="Times New Roman"/>
                <w:b w:val="0"/>
                <w:bCs w:val="0"/>
                <w:color w:val="000000"/>
                <w:sz w:val="21"/>
                <w:szCs w:val="21"/>
                <w:vertAlign w:val="baseline"/>
                <w:lang w:val="en-US" w:eastAsia="zh-CN"/>
              </w:rPr>
              <w:t xml:space="preserve">距 E匝道:100/106m </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color w:val="000000"/>
                <w:kern w:val="2"/>
                <w:sz w:val="21"/>
                <w:szCs w:val="21"/>
                <w:vertAlign w:val="baseline"/>
                <w:lang w:val="en-US" w:eastAsia="zh-CN" w:bidi="ar-SA"/>
              </w:rPr>
            </w:pPr>
            <w:r>
              <w:rPr>
                <w:rFonts w:hint="default" w:ascii="Times New Roman" w:hAnsi="Times New Roman" w:cs="Times New Roman"/>
                <w:b w:val="0"/>
                <w:bCs w:val="0"/>
                <w:color w:val="000000"/>
                <w:sz w:val="21"/>
                <w:szCs w:val="21"/>
                <w:vertAlign w:val="baseline"/>
                <w:lang w:val="en-US" w:eastAsia="zh-CN"/>
              </w:rPr>
              <w:t xml:space="preserve">距 A匝道:166/172m </w:t>
            </w:r>
          </w:p>
        </w:tc>
        <w:tc>
          <w:tcPr>
            <w:tcW w:w="1100"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周边约</w:t>
            </w:r>
            <w:r>
              <w:rPr>
                <w:rFonts w:hint="default" w:ascii="Times New Roman" w:hAnsi="Times New Roman" w:cs="Times New Roman"/>
                <w:color w:val="000000" w:themeColor="text1"/>
                <w:sz w:val="21"/>
                <w:szCs w:val="21"/>
                <w:lang w:val="en-US" w:eastAsia="zh-CN"/>
                <w14:textFill>
                  <w14:solidFill>
                    <w14:schemeClr w14:val="tx1"/>
                  </w14:solidFill>
                </w14:textFill>
              </w:rPr>
              <w:t>600</w:t>
            </w:r>
            <w:r>
              <w:rPr>
                <w:rFonts w:hint="default" w:ascii="Times New Roman" w:hAnsi="Times New Roman" w:cs="Times New Roman"/>
                <w:color w:val="000000" w:themeColor="text1"/>
                <w:sz w:val="21"/>
                <w:szCs w:val="21"/>
                <w14:textFill>
                  <w14:solidFill>
                    <w14:schemeClr w14:val="tx1"/>
                  </w14:solidFill>
                </w14:textFill>
              </w:rPr>
              <w:t>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c>
          <w:tcPr>
            <w:tcW w:w="421"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4</w:t>
            </w:r>
          </w:p>
        </w:tc>
        <w:tc>
          <w:tcPr>
            <w:tcW w:w="844" w:type="pct"/>
            <w:vMerge w:val="continue"/>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color w:val="000000"/>
                <w:kern w:val="2"/>
                <w:sz w:val="21"/>
                <w:szCs w:val="21"/>
                <w:vertAlign w:val="baseline"/>
                <w:lang w:val="en-US" w:eastAsia="zh-CN" w:bidi="ar-SA"/>
              </w:rPr>
            </w:pPr>
          </w:p>
        </w:tc>
        <w:tc>
          <w:tcPr>
            <w:tcW w:w="111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color w:val="000000"/>
                <w:kern w:val="2"/>
                <w:sz w:val="21"/>
                <w:szCs w:val="21"/>
                <w:vertAlign w:val="baseline"/>
                <w:lang w:val="en-US" w:eastAsia="zh-CN" w:bidi="ar-SA"/>
              </w:rPr>
            </w:pPr>
            <w:r>
              <w:rPr>
                <w:rFonts w:hint="default" w:ascii="Times New Roman" w:hAnsi="Times New Roman" w:cs="Times New Roman"/>
                <w:b w:val="0"/>
                <w:bCs w:val="0"/>
                <w:color w:val="000000"/>
                <w:sz w:val="21"/>
                <w:szCs w:val="21"/>
                <w:vertAlign w:val="baseline"/>
                <w:lang w:eastAsia="zh-CN"/>
              </w:rPr>
              <w:t>中航工业宿舍楼</w:t>
            </w:r>
          </w:p>
        </w:tc>
        <w:tc>
          <w:tcPr>
            <w:tcW w:w="151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val="en-US" w:eastAsia="zh-CN"/>
              </w:rPr>
            </w:pPr>
            <w:r>
              <w:rPr>
                <w:rFonts w:hint="default" w:ascii="Times New Roman" w:hAnsi="Times New Roman" w:cs="Times New Roman"/>
                <w:b w:val="0"/>
                <w:bCs w:val="0"/>
                <w:color w:val="000000"/>
                <w:sz w:val="21"/>
                <w:szCs w:val="21"/>
                <w:vertAlign w:val="baseline"/>
                <w:lang w:val="en-US" w:eastAsia="zh-CN"/>
              </w:rPr>
              <w:t xml:space="preserve">绕城南段路南, </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val="en-US" w:eastAsia="zh-CN"/>
              </w:rPr>
            </w:pPr>
            <w:r>
              <w:rPr>
                <w:rFonts w:hint="default" w:ascii="Times New Roman" w:hAnsi="Times New Roman" w:cs="Times New Roman"/>
                <w:b w:val="0"/>
                <w:bCs w:val="0"/>
                <w:color w:val="000000"/>
                <w:sz w:val="21"/>
                <w:szCs w:val="21"/>
                <w:vertAlign w:val="baseline"/>
                <w:lang w:val="en-US" w:eastAsia="zh-CN"/>
              </w:rPr>
              <w:t xml:space="preserve">距 D匝道: 34/40m </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val="en-US" w:eastAsia="zh-CN"/>
              </w:rPr>
            </w:pPr>
            <w:r>
              <w:rPr>
                <w:rFonts w:hint="default" w:ascii="Times New Roman" w:hAnsi="Times New Roman" w:cs="Times New Roman"/>
                <w:b w:val="0"/>
                <w:bCs w:val="0"/>
                <w:color w:val="000000"/>
                <w:sz w:val="21"/>
                <w:szCs w:val="21"/>
                <w:vertAlign w:val="baseline"/>
                <w:lang w:val="en-US" w:eastAsia="zh-CN"/>
              </w:rPr>
              <w:t xml:space="preserve">距 E匝道: 74/80m </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color w:val="000000"/>
                <w:kern w:val="2"/>
                <w:sz w:val="21"/>
                <w:szCs w:val="21"/>
                <w:vertAlign w:val="baseline"/>
                <w:lang w:val="en-US" w:eastAsia="zh-CN" w:bidi="ar-SA"/>
              </w:rPr>
            </w:pPr>
            <w:r>
              <w:rPr>
                <w:rFonts w:hint="default" w:ascii="Times New Roman" w:hAnsi="Times New Roman" w:cs="Times New Roman"/>
                <w:b w:val="0"/>
                <w:bCs w:val="0"/>
                <w:color w:val="000000"/>
                <w:sz w:val="21"/>
                <w:szCs w:val="21"/>
                <w:vertAlign w:val="baseline"/>
                <w:lang w:val="en-US" w:eastAsia="zh-CN"/>
              </w:rPr>
              <w:t xml:space="preserve">距 A匝道: 170/176m </w:t>
            </w:r>
          </w:p>
        </w:tc>
        <w:tc>
          <w:tcPr>
            <w:tcW w:w="1100"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周边约</w:t>
            </w:r>
            <w:r>
              <w:rPr>
                <w:rFonts w:hint="default" w:ascii="Times New Roman" w:hAnsi="Times New Roman" w:cs="Times New Roman"/>
                <w:color w:val="000000" w:themeColor="text1"/>
                <w:sz w:val="21"/>
                <w:szCs w:val="21"/>
                <w:lang w:val="en-US" w:eastAsia="zh-CN"/>
                <w14:textFill>
                  <w14:solidFill>
                    <w14:schemeClr w14:val="tx1"/>
                  </w14:solidFill>
                </w14:textFill>
              </w:rPr>
              <w:t>500</w:t>
            </w:r>
            <w:r>
              <w:rPr>
                <w:rFonts w:hint="default" w:ascii="Times New Roman" w:hAnsi="Times New Roman" w:cs="Times New Roman"/>
                <w:color w:val="000000" w:themeColor="text1"/>
                <w:sz w:val="21"/>
                <w:szCs w:val="21"/>
                <w14:textFill>
                  <w14:solidFill>
                    <w14:schemeClr w14:val="tx1"/>
                  </w14:solidFill>
                </w14:textFill>
              </w:rPr>
              <w:t>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421"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5</w:t>
            </w:r>
          </w:p>
        </w:tc>
        <w:tc>
          <w:tcPr>
            <w:tcW w:w="844"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eastAsia="zh-CN"/>
              </w:rPr>
            </w:pPr>
            <w:r>
              <w:rPr>
                <w:rFonts w:hint="default" w:ascii="Times New Roman" w:hAnsi="Times New Roman" w:cs="Times New Roman"/>
                <w:b w:val="0"/>
                <w:bCs w:val="0"/>
                <w:color w:val="000000"/>
                <w:sz w:val="21"/>
                <w:szCs w:val="21"/>
                <w:vertAlign w:val="baseline"/>
                <w:lang w:eastAsia="zh-CN"/>
              </w:rPr>
              <w:t>西高新</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000000"/>
                <w:kern w:val="2"/>
                <w:sz w:val="21"/>
                <w:szCs w:val="21"/>
                <w:vertAlign w:val="baseline"/>
                <w:lang w:val="en-US" w:eastAsia="zh-CN" w:bidi="ar-SA"/>
              </w:rPr>
            </w:pPr>
            <w:r>
              <w:rPr>
                <w:rFonts w:hint="default" w:ascii="Times New Roman" w:hAnsi="Times New Roman" w:cs="Times New Roman"/>
                <w:b w:val="0"/>
                <w:bCs w:val="0"/>
                <w:color w:val="000000"/>
                <w:sz w:val="21"/>
                <w:szCs w:val="21"/>
                <w:vertAlign w:val="baseline"/>
                <w:lang w:eastAsia="zh-CN"/>
              </w:rPr>
              <w:t>收费站</w:t>
            </w:r>
          </w:p>
        </w:tc>
        <w:tc>
          <w:tcPr>
            <w:tcW w:w="111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b w:val="0"/>
                <w:bCs w:val="0"/>
                <w:color w:val="000000"/>
                <w:kern w:val="2"/>
                <w:sz w:val="21"/>
                <w:szCs w:val="21"/>
                <w:vertAlign w:val="baseline"/>
                <w:lang w:val="en-US" w:eastAsia="zh-CN" w:bidi="ar-SA"/>
              </w:rPr>
            </w:pPr>
            <w:r>
              <w:rPr>
                <w:rFonts w:hint="default" w:ascii="Times New Roman" w:hAnsi="Times New Roman" w:cs="Times New Roman"/>
                <w:b w:val="0"/>
                <w:bCs w:val="0"/>
                <w:color w:val="000000"/>
                <w:sz w:val="21"/>
                <w:szCs w:val="21"/>
                <w:vertAlign w:val="baseline"/>
                <w:lang w:eastAsia="zh-CN"/>
              </w:rPr>
              <w:t>天正幸福里小区</w:t>
            </w:r>
          </w:p>
        </w:tc>
        <w:tc>
          <w:tcPr>
            <w:tcW w:w="151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val="en-US" w:eastAsia="zh-CN"/>
              </w:rPr>
            </w:pPr>
            <w:r>
              <w:rPr>
                <w:rFonts w:hint="default" w:ascii="Times New Roman" w:hAnsi="Times New Roman" w:cs="Times New Roman"/>
                <w:b w:val="0"/>
                <w:bCs w:val="0"/>
                <w:color w:val="000000"/>
                <w:sz w:val="21"/>
                <w:szCs w:val="21"/>
                <w:vertAlign w:val="baseline"/>
                <w:lang w:val="en-US" w:eastAsia="zh-CN"/>
              </w:rPr>
              <w:t>收费站东北,</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仿宋" w:cs="Times New Roman"/>
                <w:b w:val="0"/>
                <w:bCs w:val="0"/>
                <w:color w:val="000000"/>
                <w:kern w:val="2"/>
                <w:sz w:val="21"/>
                <w:szCs w:val="21"/>
                <w:vertAlign w:val="baseline"/>
                <w:lang w:val="en-US" w:eastAsia="zh-CN" w:bidi="ar-SA"/>
              </w:rPr>
            </w:pPr>
            <w:r>
              <w:rPr>
                <w:rFonts w:hint="default" w:ascii="Times New Roman" w:hAnsi="Times New Roman" w:cs="Times New Roman"/>
                <w:b w:val="0"/>
                <w:bCs w:val="0"/>
                <w:color w:val="000000"/>
                <w:sz w:val="21"/>
                <w:szCs w:val="21"/>
                <w:vertAlign w:val="baseline"/>
                <w:lang w:val="en-US" w:eastAsia="zh-CN"/>
              </w:rPr>
              <w:t xml:space="preserve"> 距公路中心线170m ； </w:t>
            </w:r>
          </w:p>
        </w:tc>
        <w:tc>
          <w:tcPr>
            <w:tcW w:w="1100"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周边约</w:t>
            </w:r>
            <w:r>
              <w:rPr>
                <w:rFonts w:hint="default" w:ascii="Times New Roman" w:hAnsi="Times New Roman" w:cs="Times New Roman"/>
                <w:color w:val="000000" w:themeColor="text1"/>
                <w:sz w:val="21"/>
                <w:szCs w:val="21"/>
                <w:lang w:val="en-US" w:eastAsia="zh-CN"/>
                <w14:textFill>
                  <w14:solidFill>
                    <w14:schemeClr w14:val="tx1"/>
                  </w14:solidFill>
                </w14:textFill>
              </w:rPr>
              <w:t>3</w:t>
            </w:r>
            <w:r>
              <w:rPr>
                <w:rFonts w:hint="default" w:ascii="Times New Roman" w:hAnsi="Times New Roman" w:cs="Times New Roman"/>
                <w:color w:val="000000" w:themeColor="text1"/>
                <w:sz w:val="21"/>
                <w:szCs w:val="21"/>
                <w14:textFill>
                  <w14:solidFill>
                    <w14:schemeClr w14:val="tx1"/>
                  </w14:solidFill>
                </w14:textFill>
              </w:rPr>
              <w:t>15</w:t>
            </w:r>
            <w:r>
              <w:rPr>
                <w:rFonts w:hint="default" w:ascii="Times New Roman" w:hAnsi="Times New Roman" w:cs="Times New Roman"/>
                <w:color w:val="000000" w:themeColor="text1"/>
                <w:sz w:val="21"/>
                <w:szCs w:val="21"/>
                <w:lang w:val="en-US" w:eastAsia="zh-CN"/>
                <w14:textFill>
                  <w14:solidFill>
                    <w14:schemeClr w14:val="tx1"/>
                  </w14:solidFill>
                </w14:textFill>
              </w:rPr>
              <w:t>0</w:t>
            </w:r>
            <w:r>
              <w:rPr>
                <w:rFonts w:hint="default" w:ascii="Times New Roman" w:hAnsi="Times New Roman" w:cs="Times New Roman"/>
                <w:color w:val="000000" w:themeColor="text1"/>
                <w:sz w:val="21"/>
                <w:szCs w:val="21"/>
                <w14:textFill>
                  <w14:solidFill>
                    <w14:schemeClr w14:val="tx1"/>
                  </w14:solidFill>
                </w14:textFill>
              </w:rPr>
              <w:t>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421"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6</w:t>
            </w:r>
          </w:p>
        </w:tc>
        <w:tc>
          <w:tcPr>
            <w:tcW w:w="844" w:type="pct"/>
            <w:vMerge w:val="restart"/>
            <w:vAlign w:val="center"/>
          </w:tcPr>
          <w:p>
            <w:pPr>
              <w:widowControl/>
              <w:snapToGrid w:val="0"/>
              <w:spacing w:line="240" w:lineRule="auto"/>
              <w:ind w:firstLine="0" w:firstLineChars="0"/>
              <w:jc w:val="center"/>
              <w:rPr>
                <w:rFonts w:hint="default" w:ascii="Times New Roman" w:hAnsi="Times New Roman" w:eastAsia="仿宋" w:cs="Times New Roman"/>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lang w:eastAsia="zh-CN"/>
                <w14:textFill>
                  <w14:solidFill>
                    <w14:schemeClr w14:val="tx1"/>
                  </w14:solidFill>
                </w14:textFill>
              </w:rPr>
              <w:t>雁塔路立交</w:t>
            </w:r>
          </w:p>
        </w:tc>
        <w:tc>
          <w:tcPr>
            <w:tcW w:w="111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eastAsia="zh-CN"/>
              </w:rPr>
            </w:pPr>
            <w:r>
              <w:rPr>
                <w:rFonts w:hint="default" w:ascii="Times New Roman" w:hAnsi="Times New Roman" w:cs="Times New Roman"/>
                <w:b w:val="0"/>
                <w:bCs w:val="0"/>
                <w:color w:val="000000"/>
                <w:sz w:val="21"/>
                <w:szCs w:val="21"/>
                <w:vertAlign w:val="baseline"/>
                <w:lang w:eastAsia="zh-CN"/>
              </w:rPr>
              <w:t>曲江杏林园小区</w:t>
            </w:r>
          </w:p>
        </w:tc>
        <w:tc>
          <w:tcPr>
            <w:tcW w:w="1518"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绕城南段 路北，</w:t>
            </w:r>
          </w:p>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 xml:space="preserve">距 H:52/58m   </w:t>
            </w:r>
          </w:p>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距 I 匝:66/72m</w:t>
            </w:r>
          </w:p>
        </w:tc>
        <w:tc>
          <w:tcPr>
            <w:tcW w:w="1100"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周边约</w:t>
            </w:r>
            <w:r>
              <w:rPr>
                <w:rFonts w:hint="default" w:ascii="Times New Roman" w:hAnsi="Times New Roman" w:cs="Times New Roman"/>
                <w:color w:val="000000" w:themeColor="text1"/>
                <w:sz w:val="21"/>
                <w:szCs w:val="21"/>
                <w:lang w:val="en-US" w:eastAsia="zh-CN"/>
                <w14:textFill>
                  <w14:solidFill>
                    <w14:schemeClr w14:val="tx1"/>
                  </w14:solidFill>
                </w14:textFill>
              </w:rPr>
              <w:t>2</w:t>
            </w:r>
            <w:r>
              <w:rPr>
                <w:rFonts w:hint="default" w:ascii="Times New Roman" w:hAnsi="Times New Roman" w:cs="Times New Roman"/>
                <w:color w:val="000000" w:themeColor="text1"/>
                <w:sz w:val="21"/>
                <w:szCs w:val="21"/>
                <w14:textFill>
                  <w14:solidFill>
                    <w14:schemeClr w14:val="tx1"/>
                  </w14:solidFill>
                </w14:textFill>
              </w:rPr>
              <w:t>5</w:t>
            </w:r>
            <w:r>
              <w:rPr>
                <w:rFonts w:hint="default" w:ascii="Times New Roman" w:hAnsi="Times New Roman" w:cs="Times New Roman"/>
                <w:color w:val="000000" w:themeColor="text1"/>
                <w:sz w:val="21"/>
                <w:szCs w:val="21"/>
                <w:lang w:val="en-US" w:eastAsia="zh-CN"/>
                <w14:textFill>
                  <w14:solidFill>
                    <w14:schemeClr w14:val="tx1"/>
                  </w14:solidFill>
                </w14:textFill>
              </w:rPr>
              <w:t>00</w:t>
            </w:r>
            <w:r>
              <w:rPr>
                <w:rFonts w:hint="default" w:ascii="Times New Roman" w:hAnsi="Times New Roman" w:cs="Times New Roman"/>
                <w:color w:val="000000" w:themeColor="text1"/>
                <w:sz w:val="21"/>
                <w:szCs w:val="21"/>
                <w14:textFill>
                  <w14:solidFill>
                    <w14:schemeClr w14:val="tx1"/>
                  </w14:solidFill>
                </w14:textFill>
              </w:rPr>
              <w:t>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421"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7</w:t>
            </w:r>
          </w:p>
        </w:tc>
        <w:tc>
          <w:tcPr>
            <w:tcW w:w="844" w:type="pct"/>
            <w:vMerge w:val="continue"/>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p>
        </w:tc>
        <w:tc>
          <w:tcPr>
            <w:tcW w:w="111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eastAsia="zh-CN"/>
              </w:rPr>
            </w:pPr>
            <w:r>
              <w:rPr>
                <w:rFonts w:hint="default" w:ascii="Times New Roman" w:hAnsi="Times New Roman" w:cs="Times New Roman"/>
                <w:b w:val="0"/>
                <w:bCs w:val="0"/>
                <w:color w:val="000000"/>
                <w:sz w:val="21"/>
                <w:szCs w:val="21"/>
                <w:vertAlign w:val="baseline"/>
                <w:lang w:eastAsia="zh-CN"/>
              </w:rPr>
              <w:t>曲江观邸</w:t>
            </w:r>
          </w:p>
        </w:tc>
        <w:tc>
          <w:tcPr>
            <w:tcW w:w="1518"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绕城南段路北</w:t>
            </w:r>
          </w:p>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A匝:157/163m</w:t>
            </w:r>
          </w:p>
        </w:tc>
        <w:tc>
          <w:tcPr>
            <w:tcW w:w="1100"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周边约17</w:t>
            </w:r>
            <w:r>
              <w:rPr>
                <w:rFonts w:hint="default" w:ascii="Times New Roman" w:hAnsi="Times New Roman" w:cs="Times New Roman"/>
                <w:color w:val="000000" w:themeColor="text1"/>
                <w:sz w:val="21"/>
                <w:szCs w:val="21"/>
                <w:lang w:val="en-US" w:eastAsia="zh-CN"/>
                <w14:textFill>
                  <w14:solidFill>
                    <w14:schemeClr w14:val="tx1"/>
                  </w14:solidFill>
                </w14:textFill>
              </w:rPr>
              <w:t>00</w:t>
            </w:r>
            <w:r>
              <w:rPr>
                <w:rFonts w:hint="default" w:ascii="Times New Roman" w:hAnsi="Times New Roman" w:cs="Times New Roman"/>
                <w:color w:val="000000" w:themeColor="text1"/>
                <w:sz w:val="21"/>
                <w:szCs w:val="21"/>
                <w14:textFill>
                  <w14:solidFill>
                    <w14:schemeClr w14:val="tx1"/>
                  </w14:solidFill>
                </w14:textFill>
              </w:rPr>
              <w:t>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421"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8</w:t>
            </w:r>
          </w:p>
        </w:tc>
        <w:tc>
          <w:tcPr>
            <w:tcW w:w="844" w:type="pct"/>
            <w:vMerge w:val="continue"/>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p>
        </w:tc>
        <w:tc>
          <w:tcPr>
            <w:tcW w:w="111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eastAsia="zh-CN"/>
              </w:rPr>
            </w:pPr>
            <w:r>
              <w:rPr>
                <w:rFonts w:hint="default" w:ascii="Times New Roman" w:hAnsi="Times New Roman" w:cs="Times New Roman"/>
                <w:b w:val="0"/>
                <w:bCs w:val="0"/>
                <w:color w:val="000000"/>
                <w:sz w:val="21"/>
                <w:szCs w:val="21"/>
                <w:vertAlign w:val="baseline"/>
                <w:lang w:eastAsia="zh-CN"/>
              </w:rPr>
              <w:t>曲江观塘</w:t>
            </w:r>
          </w:p>
        </w:tc>
        <w:tc>
          <w:tcPr>
            <w:tcW w:w="1518"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绕城南段路北</w:t>
            </w:r>
          </w:p>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距 A:179/185m</w:t>
            </w:r>
          </w:p>
        </w:tc>
        <w:tc>
          <w:tcPr>
            <w:tcW w:w="1100"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周边约</w:t>
            </w:r>
            <w:r>
              <w:rPr>
                <w:rFonts w:hint="default" w:ascii="Times New Roman" w:hAnsi="Times New Roman" w:cs="Times New Roman"/>
                <w:color w:val="000000" w:themeColor="text1"/>
                <w:sz w:val="21"/>
                <w:szCs w:val="21"/>
                <w:lang w:val="en-US" w:eastAsia="zh-CN"/>
                <w14:textFill>
                  <w14:solidFill>
                    <w14:schemeClr w14:val="tx1"/>
                  </w14:solidFill>
                </w14:textFill>
              </w:rPr>
              <w:t>2</w:t>
            </w:r>
            <w:r>
              <w:rPr>
                <w:rFonts w:hint="default" w:ascii="Times New Roman" w:hAnsi="Times New Roman" w:cs="Times New Roman"/>
                <w:color w:val="000000" w:themeColor="text1"/>
                <w:sz w:val="21"/>
                <w:szCs w:val="21"/>
                <w14:textFill>
                  <w14:solidFill>
                    <w14:schemeClr w14:val="tx1"/>
                  </w14:solidFill>
                </w14:textFill>
              </w:rPr>
              <w:t>11</w:t>
            </w:r>
            <w:r>
              <w:rPr>
                <w:rFonts w:hint="default" w:ascii="Times New Roman" w:hAnsi="Times New Roman" w:cs="Times New Roman"/>
                <w:color w:val="000000" w:themeColor="text1"/>
                <w:sz w:val="21"/>
                <w:szCs w:val="21"/>
                <w:lang w:val="en-US" w:eastAsia="zh-CN"/>
                <w14:textFill>
                  <w14:solidFill>
                    <w14:schemeClr w14:val="tx1"/>
                  </w14:solidFill>
                </w14:textFill>
              </w:rPr>
              <w:t>0</w:t>
            </w:r>
            <w:r>
              <w:rPr>
                <w:rFonts w:hint="default" w:ascii="Times New Roman" w:hAnsi="Times New Roman" w:cs="Times New Roman"/>
                <w:color w:val="000000" w:themeColor="text1"/>
                <w:sz w:val="21"/>
                <w:szCs w:val="21"/>
                <w14:textFill>
                  <w14:solidFill>
                    <w14:schemeClr w14:val="tx1"/>
                  </w14:solidFill>
                </w14:textFill>
              </w:rPr>
              <w:t>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421"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9</w:t>
            </w:r>
          </w:p>
        </w:tc>
        <w:tc>
          <w:tcPr>
            <w:tcW w:w="844" w:type="pct"/>
            <w:vMerge w:val="continue"/>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p>
        </w:tc>
        <w:tc>
          <w:tcPr>
            <w:tcW w:w="1113"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val="0"/>
                <w:bCs w:val="0"/>
                <w:color w:val="000000"/>
                <w:sz w:val="21"/>
                <w:szCs w:val="21"/>
                <w:vertAlign w:val="baseline"/>
                <w:lang w:eastAsia="zh-CN"/>
              </w:rPr>
            </w:pPr>
            <w:r>
              <w:rPr>
                <w:rFonts w:hint="default" w:ascii="Times New Roman" w:hAnsi="Times New Roman" w:cs="Times New Roman"/>
                <w:b w:val="0"/>
                <w:bCs w:val="0"/>
                <w:color w:val="000000"/>
                <w:sz w:val="21"/>
                <w:szCs w:val="21"/>
                <w:vertAlign w:val="baseline"/>
                <w:lang w:eastAsia="zh-CN"/>
              </w:rPr>
              <w:t>曲江城市花园</w:t>
            </w:r>
          </w:p>
        </w:tc>
        <w:tc>
          <w:tcPr>
            <w:tcW w:w="1518"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绕城南段路北距</w:t>
            </w:r>
          </w:p>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 xml:space="preserve"> E 匝:44/50m</w:t>
            </w:r>
          </w:p>
        </w:tc>
        <w:tc>
          <w:tcPr>
            <w:tcW w:w="1100" w:type="pct"/>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r>
              <w:rPr>
                <w:rFonts w:hint="default" w:ascii="Times New Roman" w:hAnsi="Times New Roman" w:cs="Times New Roman"/>
                <w:color w:val="000000" w:themeColor="text1"/>
                <w:sz w:val="21"/>
                <w:szCs w:val="21"/>
                <w14:textFill>
                  <w14:solidFill>
                    <w14:schemeClr w14:val="tx1"/>
                  </w14:solidFill>
                </w14:textFill>
              </w:rPr>
              <w:t>周边约</w:t>
            </w:r>
            <w:r>
              <w:rPr>
                <w:rFonts w:hint="default" w:ascii="Times New Roman" w:hAnsi="Times New Roman" w:cs="Times New Roman"/>
                <w:color w:val="000000" w:themeColor="text1"/>
                <w:sz w:val="21"/>
                <w:szCs w:val="21"/>
                <w:lang w:val="en-US" w:eastAsia="zh-CN"/>
                <w14:textFill>
                  <w14:solidFill>
                    <w14:schemeClr w14:val="tx1"/>
                  </w14:solidFill>
                </w14:textFill>
              </w:rPr>
              <w:t>2</w:t>
            </w:r>
            <w:r>
              <w:rPr>
                <w:rFonts w:hint="default" w:ascii="Times New Roman" w:hAnsi="Times New Roman" w:cs="Times New Roman"/>
                <w:color w:val="000000" w:themeColor="text1"/>
                <w:sz w:val="21"/>
                <w:szCs w:val="21"/>
                <w14:textFill>
                  <w14:solidFill>
                    <w14:schemeClr w14:val="tx1"/>
                  </w14:solidFill>
                </w14:textFill>
              </w:rPr>
              <w:t>20</w:t>
            </w:r>
            <w:r>
              <w:rPr>
                <w:rFonts w:hint="default" w:ascii="Times New Roman" w:hAnsi="Times New Roman" w:cs="Times New Roman"/>
                <w:color w:val="000000" w:themeColor="text1"/>
                <w:sz w:val="21"/>
                <w:szCs w:val="21"/>
                <w:lang w:val="en-US" w:eastAsia="zh-CN"/>
                <w14:textFill>
                  <w14:solidFill>
                    <w14:schemeClr w14:val="tx1"/>
                  </w14:solidFill>
                </w14:textFill>
              </w:rPr>
              <w:t>0</w:t>
            </w:r>
            <w:r>
              <w:rPr>
                <w:rFonts w:hint="default" w:ascii="Times New Roman" w:hAnsi="Times New Roman" w:cs="Times New Roman"/>
                <w:color w:val="000000" w:themeColor="text1"/>
                <w:sz w:val="21"/>
                <w:szCs w:val="21"/>
                <w14:textFill>
                  <w14:solidFill>
                    <w14:schemeClr w14:val="tx1"/>
                  </w14:solidFill>
                </w14:textFill>
              </w:rPr>
              <w:t>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421" w:type="pct"/>
            <w:vAlign w:val="center"/>
          </w:tcPr>
          <w:p>
            <w:pPr>
              <w:widowControl/>
              <w:snapToGrid w:val="0"/>
              <w:spacing w:line="240" w:lineRule="auto"/>
              <w:ind w:firstLine="0" w:firstLineChars="0"/>
              <w:jc w:val="center"/>
              <w:rPr>
                <w:rFonts w:hint="default" w:ascii="Times New Roman" w:hAnsi="Times New Roman" w:eastAsia="仿宋"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10</w:t>
            </w:r>
          </w:p>
        </w:tc>
        <w:tc>
          <w:tcPr>
            <w:tcW w:w="844" w:type="pct"/>
            <w:vMerge w:val="restart"/>
            <w:vAlign w:val="center"/>
          </w:tcPr>
          <w:p>
            <w:pPr>
              <w:widowControl/>
              <w:snapToGrid w:val="0"/>
              <w:spacing w:line="240" w:lineRule="auto"/>
              <w:ind w:firstLine="0" w:firstLineChars="0"/>
              <w:jc w:val="center"/>
              <w:rPr>
                <w:rFonts w:hint="default" w:ascii="Times New Roman" w:hAnsi="Times New Roman" w:eastAsia="仿宋" w:cs="Times New Roman"/>
                <w:color w:val="000000" w:themeColor="text1"/>
                <w:sz w:val="21"/>
                <w:szCs w:val="21"/>
                <w:lang w:eastAsia="zh-CN"/>
                <w14:textFill>
                  <w14:solidFill>
                    <w14:schemeClr w14:val="tx1"/>
                  </w14:solidFill>
                </w14:textFill>
              </w:rPr>
            </w:pPr>
            <w:r>
              <w:rPr>
                <w:rFonts w:hint="default" w:ascii="Times New Roman" w:hAnsi="Times New Roman" w:cs="Times New Roman"/>
                <w:color w:val="000000" w:themeColor="text1"/>
                <w:sz w:val="21"/>
                <w:szCs w:val="21"/>
                <w:lang w:eastAsia="zh-CN"/>
                <w14:textFill>
                  <w14:solidFill>
                    <w14:schemeClr w14:val="tx1"/>
                  </w14:solidFill>
                </w14:textFill>
              </w:rPr>
              <w:t>秦汉立交</w:t>
            </w:r>
          </w:p>
        </w:tc>
        <w:tc>
          <w:tcPr>
            <w:tcW w:w="1113" w:type="pct"/>
            <w:vAlign w:val="center"/>
          </w:tcPr>
          <w:p>
            <w:pPr>
              <w:pStyle w:val="14"/>
              <w:ind w:firstLine="0" w:firstLineChars="0"/>
              <w:rPr>
                <w:rFonts w:hint="default" w:ascii="Times New Roman" w:hAnsi="Times New Roman" w:eastAsia="仿宋" w:cs="Times New Roman"/>
                <w:kern w:val="2"/>
                <w:sz w:val="21"/>
                <w:szCs w:val="21"/>
                <w:lang w:val="en-US" w:eastAsia="zh-CN" w:bidi="ar-SA"/>
              </w:rPr>
            </w:pPr>
            <w:r>
              <w:rPr>
                <w:rFonts w:hint="default" w:ascii="Times New Roman" w:hAnsi="Times New Roman" w:cs="Times New Roman"/>
              </w:rPr>
              <w:t>兰池佳苑</w:t>
            </w:r>
          </w:p>
        </w:tc>
        <w:tc>
          <w:tcPr>
            <w:tcW w:w="1518" w:type="pct"/>
            <w:vAlign w:val="center"/>
          </w:tcPr>
          <w:p>
            <w:pPr>
              <w:pStyle w:val="14"/>
              <w:ind w:firstLine="0" w:firstLineChars="0"/>
              <w:rPr>
                <w:rFonts w:hint="default" w:ascii="Times New Roman" w:hAnsi="Times New Roman" w:eastAsia="仿宋" w:cs="Times New Roman"/>
                <w:kern w:val="2"/>
                <w:sz w:val="21"/>
                <w:szCs w:val="21"/>
                <w:lang w:val="en-US" w:eastAsia="zh-CN" w:bidi="ar-SA"/>
              </w:rPr>
            </w:pPr>
            <w:r>
              <w:rPr>
                <w:rFonts w:hint="default" w:ascii="Times New Roman" w:hAnsi="Times New Roman" w:cs="Times New Roman"/>
              </w:rPr>
              <w:t>EN200m</w:t>
            </w:r>
          </w:p>
        </w:tc>
        <w:tc>
          <w:tcPr>
            <w:tcW w:w="1100" w:type="pct"/>
            <w:vAlign w:val="center"/>
          </w:tcPr>
          <w:p>
            <w:pPr>
              <w:pStyle w:val="14"/>
              <w:ind w:firstLine="0" w:firstLineChars="0"/>
              <w:rPr>
                <w:rFonts w:hint="default" w:ascii="Times New Roman" w:hAnsi="Times New Roman" w:eastAsia="仿宋" w:cs="Times New Roman"/>
                <w:kern w:val="2"/>
                <w:sz w:val="21"/>
                <w:szCs w:val="21"/>
                <w:lang w:val="en-US" w:eastAsia="zh-CN" w:bidi="ar-SA"/>
              </w:rPr>
            </w:pPr>
            <w:r>
              <w:rPr>
                <w:rFonts w:hint="default" w:ascii="Times New Roman" w:hAnsi="Times New Roman" w:cs="Times New Roman"/>
                <w:color w:val="000000" w:themeColor="text1"/>
                <w:sz w:val="21"/>
                <w:szCs w:val="21"/>
                <w14:textFill>
                  <w14:solidFill>
                    <w14:schemeClr w14:val="tx1"/>
                  </w14:solidFill>
                </w14:textFill>
              </w:rPr>
              <w:t>周边约</w:t>
            </w:r>
            <w:r>
              <w:rPr>
                <w:rFonts w:hint="default" w:ascii="Times New Roman" w:hAnsi="Times New Roman" w:cs="Times New Roman"/>
              </w:rPr>
              <w:t>4480人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c>
          <w:tcPr>
            <w:tcW w:w="421" w:type="pct"/>
            <w:vAlign w:val="center"/>
          </w:tcPr>
          <w:p>
            <w:pPr>
              <w:widowControl/>
              <w:snapToGrid w:val="0"/>
              <w:spacing w:line="240" w:lineRule="auto"/>
              <w:ind w:firstLine="0" w:firstLineChars="0"/>
              <w:jc w:val="center"/>
              <w:rPr>
                <w:rFonts w:hint="default" w:ascii="Times New Roman" w:hAnsi="Times New Roman" w:eastAsia="仿宋" w:cs="Times New Roman"/>
                <w:color w:val="000000" w:themeColor="text1"/>
                <w:sz w:val="21"/>
                <w:szCs w:val="21"/>
                <w:lang w:val="en-US" w:eastAsia="zh-CN"/>
                <w14:textFill>
                  <w14:solidFill>
                    <w14:schemeClr w14:val="tx1"/>
                  </w14:solidFill>
                </w14:textFill>
              </w:rPr>
            </w:pPr>
            <w:r>
              <w:rPr>
                <w:rFonts w:hint="default" w:ascii="Times New Roman" w:hAnsi="Times New Roman" w:cs="Times New Roman"/>
                <w:color w:val="000000" w:themeColor="text1"/>
                <w:sz w:val="21"/>
                <w:szCs w:val="21"/>
                <w:lang w:val="en-US" w:eastAsia="zh-CN"/>
                <w14:textFill>
                  <w14:solidFill>
                    <w14:schemeClr w14:val="tx1"/>
                  </w14:solidFill>
                </w14:textFill>
              </w:rPr>
              <w:t>1</w:t>
            </w:r>
            <w:r>
              <w:rPr>
                <w:rFonts w:hint="eastAsia" w:cs="Times New Roman"/>
                <w:color w:val="000000" w:themeColor="text1"/>
                <w:sz w:val="21"/>
                <w:szCs w:val="21"/>
                <w:lang w:val="en-US" w:eastAsia="zh-CN"/>
                <w14:textFill>
                  <w14:solidFill>
                    <w14:schemeClr w14:val="tx1"/>
                  </w14:solidFill>
                </w14:textFill>
              </w:rPr>
              <w:t>1</w:t>
            </w:r>
          </w:p>
        </w:tc>
        <w:tc>
          <w:tcPr>
            <w:tcW w:w="844" w:type="pct"/>
            <w:vMerge w:val="continue"/>
            <w:vAlign w:val="center"/>
          </w:tcPr>
          <w:p>
            <w:pPr>
              <w:widowControl/>
              <w:snapToGrid w:val="0"/>
              <w:spacing w:line="240" w:lineRule="auto"/>
              <w:ind w:firstLine="0" w:firstLineChars="0"/>
              <w:jc w:val="center"/>
              <w:rPr>
                <w:rFonts w:hint="default" w:ascii="Times New Roman" w:hAnsi="Times New Roman" w:cs="Times New Roman"/>
                <w:color w:val="000000" w:themeColor="text1"/>
                <w:sz w:val="21"/>
                <w:szCs w:val="21"/>
                <w14:textFill>
                  <w14:solidFill>
                    <w14:schemeClr w14:val="tx1"/>
                  </w14:solidFill>
                </w14:textFill>
              </w:rPr>
            </w:pPr>
          </w:p>
        </w:tc>
        <w:tc>
          <w:tcPr>
            <w:tcW w:w="1113" w:type="pct"/>
            <w:vAlign w:val="center"/>
          </w:tcPr>
          <w:p>
            <w:pPr>
              <w:pStyle w:val="14"/>
              <w:ind w:firstLine="0" w:firstLineChars="0"/>
              <w:rPr>
                <w:rFonts w:hint="default" w:ascii="Times New Roman" w:hAnsi="Times New Roman" w:eastAsia="仿宋" w:cs="Times New Roman"/>
                <w:kern w:val="2"/>
                <w:sz w:val="21"/>
                <w:szCs w:val="21"/>
                <w:lang w:val="en-US" w:eastAsia="zh-CN" w:bidi="ar-SA"/>
              </w:rPr>
            </w:pPr>
            <w:r>
              <w:rPr>
                <w:rFonts w:hint="default" w:ascii="Times New Roman" w:hAnsi="Times New Roman" w:cs="Times New Roman"/>
              </w:rPr>
              <w:t>左排村</w:t>
            </w:r>
          </w:p>
        </w:tc>
        <w:tc>
          <w:tcPr>
            <w:tcW w:w="1518" w:type="pct"/>
            <w:vAlign w:val="center"/>
          </w:tcPr>
          <w:p>
            <w:pPr>
              <w:pStyle w:val="14"/>
              <w:ind w:firstLine="0" w:firstLineChars="0"/>
              <w:rPr>
                <w:rFonts w:hint="default" w:ascii="Times New Roman" w:hAnsi="Times New Roman" w:eastAsia="仿宋" w:cs="Times New Roman"/>
                <w:kern w:val="2"/>
                <w:sz w:val="21"/>
                <w:szCs w:val="21"/>
                <w:lang w:val="en-US" w:eastAsia="zh-CN" w:bidi="ar-SA"/>
              </w:rPr>
            </w:pPr>
            <w:r>
              <w:rPr>
                <w:rFonts w:hint="default" w:ascii="Times New Roman" w:hAnsi="Times New Roman" w:cs="Times New Roman"/>
              </w:rPr>
              <w:t>W1100m</w:t>
            </w:r>
          </w:p>
        </w:tc>
        <w:tc>
          <w:tcPr>
            <w:tcW w:w="1100" w:type="pct"/>
            <w:vAlign w:val="center"/>
          </w:tcPr>
          <w:p>
            <w:pPr>
              <w:pStyle w:val="14"/>
              <w:ind w:firstLine="0" w:firstLineChars="0"/>
              <w:rPr>
                <w:rFonts w:hint="default" w:ascii="Times New Roman" w:hAnsi="Times New Roman" w:eastAsia="仿宋" w:cs="Times New Roman"/>
                <w:kern w:val="2"/>
                <w:sz w:val="21"/>
                <w:szCs w:val="21"/>
                <w:lang w:val="en-US" w:eastAsia="zh-CN" w:bidi="ar-SA"/>
              </w:rPr>
            </w:pPr>
            <w:r>
              <w:rPr>
                <w:rFonts w:hint="default" w:ascii="Times New Roman" w:hAnsi="Times New Roman" w:cs="Times New Roman"/>
                <w:color w:val="000000" w:themeColor="text1"/>
                <w:sz w:val="21"/>
                <w:szCs w:val="21"/>
                <w14:textFill>
                  <w14:solidFill>
                    <w14:schemeClr w14:val="tx1"/>
                  </w14:solidFill>
                </w14:textFill>
              </w:rPr>
              <w:t>周边约</w:t>
            </w:r>
            <w:r>
              <w:rPr>
                <w:rFonts w:hint="default" w:ascii="Times New Roman" w:hAnsi="Times New Roman" w:cs="Times New Roman"/>
              </w:rPr>
              <w:t>880人</w:t>
            </w:r>
          </w:p>
        </w:tc>
      </w:tr>
    </w:tbl>
    <w:p>
      <w:pPr>
        <w:ind w:firstLine="562"/>
        <w:rPr>
          <w:b/>
          <w:bCs/>
          <w:color w:val="000000" w:themeColor="text1"/>
          <w:szCs w:val="22"/>
          <w14:textFill>
            <w14:solidFill>
              <w14:schemeClr w14:val="tx1"/>
            </w14:solidFill>
          </w14:textFill>
        </w:rPr>
      </w:pPr>
      <w:r>
        <w:rPr>
          <w:b/>
          <w:bCs/>
          <w:color w:val="000000" w:themeColor="text1"/>
          <w:szCs w:val="22"/>
          <w14:textFill>
            <w14:solidFill>
              <w14:schemeClr w14:val="tx1"/>
            </w14:solidFill>
          </w14:textFill>
        </w:rPr>
        <w:t>（2）水环境风险受体</w:t>
      </w:r>
    </w:p>
    <w:p>
      <w:pPr>
        <w:ind w:firstLine="560"/>
        <w:rPr>
          <w:rFonts w:hint="eastAsia" w:ascii="Times New Roman" w:hAnsi="Times New Roman" w:cs="Times New Roman"/>
          <w:color w:val="000000" w:themeColor="text1"/>
          <w:szCs w:val="22"/>
          <w:lang w:eastAsia="zh-CN"/>
          <w14:textFill>
            <w14:solidFill>
              <w14:schemeClr w14:val="tx1"/>
            </w14:solidFill>
          </w14:textFill>
        </w:rPr>
      </w:pPr>
      <w:bookmarkStart w:id="79" w:name="_Hlk73397379"/>
      <w:r>
        <w:rPr>
          <w:color w:val="000000" w:themeColor="text1"/>
          <w:szCs w:val="22"/>
          <w14:textFill>
            <w14:solidFill>
              <w14:schemeClr w14:val="tx1"/>
            </w14:solidFill>
          </w14:textFill>
        </w:rPr>
        <w:t>项目沿线涉及河流为</w:t>
      </w:r>
      <w:r>
        <w:rPr>
          <w:rFonts w:hint="eastAsia"/>
          <w:color w:val="000000" w:themeColor="text1"/>
          <w:szCs w:val="22"/>
          <w:lang w:eastAsia="zh-CN"/>
          <w14:textFill>
            <w14:solidFill>
              <w14:schemeClr w14:val="tx1"/>
            </w14:solidFill>
          </w14:textFill>
        </w:rPr>
        <w:t>灞河、渭河、太平河</w:t>
      </w:r>
      <w:r>
        <w:rPr>
          <w:color w:val="000000" w:themeColor="text1"/>
          <w:szCs w:val="22"/>
          <w14:textFill>
            <w14:solidFill>
              <w14:schemeClr w14:val="tx1"/>
            </w14:solidFill>
          </w14:textFill>
        </w:rPr>
        <w:t>，</w:t>
      </w:r>
      <w:r>
        <w:rPr>
          <w:rFonts w:hint="eastAsia"/>
          <w:color w:val="000000" w:themeColor="text1"/>
          <w:szCs w:val="22"/>
          <w:lang w:eastAsia="zh-CN"/>
          <w14:textFill>
            <w14:solidFill>
              <w14:schemeClr w14:val="tx1"/>
            </w14:solidFill>
          </w14:textFill>
        </w:rPr>
        <w:t>灞河和</w:t>
      </w:r>
      <w:r>
        <w:rPr>
          <w:rFonts w:hint="eastAsia" w:ascii="Times New Roman" w:hAnsi="Times New Roman" w:cs="Times New Roman"/>
          <w:color w:val="000000" w:themeColor="text1"/>
          <w:szCs w:val="22"/>
          <w:lang w:eastAsia="zh-CN"/>
          <w14:textFill>
            <w14:solidFill>
              <w14:schemeClr w14:val="tx1"/>
            </w14:solidFill>
          </w14:textFill>
        </w:rPr>
        <w:t>渭河</w:t>
      </w:r>
      <w:r>
        <w:rPr>
          <w:rFonts w:hint="eastAsia"/>
          <w:color w:val="000000" w:themeColor="text1"/>
          <w:szCs w:val="22"/>
          <w:lang w:eastAsia="zh-CN"/>
          <w14:textFill>
            <w14:solidFill>
              <w14:schemeClr w14:val="tx1"/>
            </w14:solidFill>
          </w14:textFill>
        </w:rPr>
        <w:t>为</w:t>
      </w:r>
      <w:r>
        <w:rPr>
          <w:rFonts w:hint="eastAsia"/>
          <w:color w:val="000000" w:themeColor="text1"/>
          <w:szCs w:val="22"/>
          <w14:textFill>
            <w14:solidFill>
              <w14:schemeClr w14:val="tx1"/>
            </w14:solidFill>
          </w14:textFill>
        </w:rPr>
        <w:t>Ⅲ类水体</w:t>
      </w:r>
      <w:r>
        <w:rPr>
          <w:rFonts w:hint="eastAsia"/>
          <w:color w:val="000000" w:themeColor="text1"/>
          <w:szCs w:val="22"/>
          <w:lang w:eastAsia="zh-CN"/>
          <w14:textFill>
            <w14:solidFill>
              <w14:schemeClr w14:val="tx1"/>
            </w14:solidFill>
          </w14:textFill>
        </w:rPr>
        <w:t>，</w:t>
      </w:r>
      <w:r>
        <w:rPr>
          <w:rFonts w:hint="eastAsia" w:ascii="Times New Roman" w:hAnsi="Times New Roman" w:cs="Times New Roman"/>
          <w:color w:val="000000" w:themeColor="text1"/>
          <w:szCs w:val="22"/>
          <w:lang w:eastAsia="zh-CN"/>
          <w14:textFill>
            <w14:solidFill>
              <w14:schemeClr w14:val="tx1"/>
            </w14:solidFill>
          </w14:textFill>
        </w:rPr>
        <w:t>太平河为Ⅳ</w:t>
      </w:r>
      <w:r>
        <w:rPr>
          <w:rFonts w:hint="eastAsia" w:ascii="Times New Roman" w:hAnsi="Times New Roman" w:cs="Times New Roman"/>
          <w:color w:val="000000" w:themeColor="text1"/>
          <w:szCs w:val="22"/>
          <w:lang w:val="en-US" w:eastAsia="zh-CN"/>
          <w14:textFill>
            <w14:solidFill>
              <w14:schemeClr w14:val="tx1"/>
            </w14:solidFill>
          </w14:textFill>
        </w:rPr>
        <w:t>类水体</w:t>
      </w:r>
      <w:r>
        <w:rPr>
          <w:rFonts w:ascii="Times New Roman" w:hAnsi="Times New Roman" w:cs="Times New Roman"/>
          <w:color w:val="000000" w:themeColor="text1"/>
          <w:szCs w:val="22"/>
          <w14:textFill>
            <w14:solidFill>
              <w14:schemeClr w14:val="tx1"/>
            </w14:solidFill>
          </w14:textFill>
        </w:rPr>
        <w:t>。</w:t>
      </w:r>
      <w:bookmarkStart w:id="80" w:name="_Hlk71276985"/>
      <w:r>
        <w:rPr>
          <w:rFonts w:hint="eastAsia" w:ascii="Times New Roman" w:hAnsi="Times New Roman" w:cs="Times New Roman"/>
          <w:color w:val="000000" w:themeColor="text1"/>
          <w:szCs w:val="22"/>
          <w:lang w:eastAsia="zh-CN"/>
          <w14:textFill>
            <w14:solidFill>
              <w14:schemeClr w14:val="tx1"/>
            </w14:solidFill>
          </w14:textFill>
        </w:rPr>
        <w:t>项目工程均为伴行河流。</w:t>
      </w:r>
    </w:p>
    <w:p>
      <w:pPr>
        <w:ind w:firstLine="560"/>
        <w:rPr>
          <w:rFonts w:hint="eastAsia" w:ascii="Times New Roman" w:hAnsi="Times New Roman" w:eastAsia="仿宋" w:cs="Times New Roman"/>
          <w:color w:val="000000" w:themeColor="text1"/>
          <w:szCs w:val="22"/>
          <w:lang w:eastAsia="zh-CN"/>
          <w14:textFill>
            <w14:solidFill>
              <w14:schemeClr w14:val="tx1"/>
            </w14:solidFill>
          </w14:textFill>
        </w:rPr>
      </w:pPr>
      <w:r>
        <w:rPr>
          <w:rFonts w:hint="eastAsia"/>
          <w:color w:val="000000" w:themeColor="text1"/>
          <w14:textFill>
            <w14:solidFill>
              <w14:schemeClr w14:val="tx1"/>
            </w14:solidFill>
          </w14:textFill>
        </w:rPr>
        <w:t>本项目</w:t>
      </w:r>
      <w:r>
        <w:rPr>
          <w:rFonts w:hint="eastAsia"/>
          <w:color w:val="000000" w:themeColor="text1"/>
          <w:lang w:eastAsia="zh-CN"/>
          <w14:textFill>
            <w14:solidFill>
              <w14:schemeClr w14:val="tx1"/>
            </w14:solidFill>
          </w14:textFill>
        </w:rPr>
        <w:t>中田王立交位于灞河地下水源二级保护区内</w:t>
      </w:r>
      <w:r>
        <w:rPr>
          <w:rFonts w:hint="eastAsia"/>
          <w:color w:val="000000" w:themeColor="text1"/>
          <w14:textFill>
            <w14:solidFill>
              <w14:schemeClr w14:val="tx1"/>
            </w14:solidFill>
          </w14:textFill>
        </w:rPr>
        <w:t>，</w:t>
      </w:r>
      <w:r>
        <w:rPr>
          <w:rFonts w:hint="eastAsia" w:ascii="Times New Roman" w:hAnsi="Times New Roman" w:cs="Times New Roman"/>
          <w:color w:val="000000" w:themeColor="text1"/>
          <w:szCs w:val="22"/>
          <w14:textFill>
            <w14:solidFill>
              <w14:schemeClr w14:val="tx1"/>
            </w14:solidFill>
          </w14:textFill>
        </w:rPr>
        <w:t>根据西安市灞桥区人民政府和西安市水务集团有限公司签订的灞河水源地改迁框架协议，将位于E匝道附近的5号井和11号井迁建至灞河滨河公园内，新建水源井外围30米内为水源地一级保护区，350米范围内为水源地二级保护区。新建5号井位于灞河滨河公园内31号井旁，距离B匝道桥梁距离为82米；新建的11号井位于灞河滨河公园内，距离E匝道距离为180米</w:t>
      </w:r>
      <w:r>
        <w:rPr>
          <w:rFonts w:hint="eastAsia" w:ascii="Times New Roman" w:hAnsi="Times New Roman" w:cs="Times New Roman"/>
          <w:color w:val="000000" w:themeColor="text1"/>
          <w:szCs w:val="22"/>
          <w:lang w:eastAsia="zh-CN"/>
          <w14:textFill>
            <w14:solidFill>
              <w14:schemeClr w14:val="tx1"/>
            </w14:solidFill>
          </w14:textFill>
        </w:rPr>
        <w:t>。</w:t>
      </w:r>
    </w:p>
    <w:bookmarkEnd w:id="79"/>
    <w:bookmarkEnd w:id="80"/>
    <w:p>
      <w:pPr>
        <w:spacing w:line="240" w:lineRule="auto"/>
        <w:ind w:firstLine="0" w:firstLineChars="0"/>
        <w:jc w:val="center"/>
        <w:rPr>
          <w:b/>
          <w:color w:val="000000" w:themeColor="text1"/>
          <w:sz w:val="21"/>
          <w:szCs w:val="21"/>
          <w14:textFill>
            <w14:solidFill>
              <w14:schemeClr w14:val="tx1"/>
            </w14:solidFill>
          </w14:textFill>
        </w:rPr>
      </w:pPr>
      <w:r>
        <w:rPr>
          <w:b/>
          <w:color w:val="000000" w:themeColor="text1"/>
          <w:sz w:val="21"/>
          <w:szCs w:val="21"/>
          <w14:textFill>
            <w14:solidFill>
              <w14:schemeClr w14:val="tx1"/>
            </w14:solidFill>
          </w14:textFill>
        </w:rPr>
        <w:t>表3-6  水环境风险受体</w:t>
      </w:r>
    </w:p>
    <w:tbl>
      <w:tblPr>
        <w:tblStyle w:val="2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674"/>
        <w:gridCol w:w="2368"/>
        <w:gridCol w:w="2726"/>
        <w:gridCol w:w="1933"/>
        <w:gridCol w:w="124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377" w:type="pct"/>
            <w:vAlign w:val="center"/>
          </w:tcPr>
          <w:p>
            <w:pPr>
              <w:spacing w:line="240" w:lineRule="auto"/>
              <w:ind w:firstLine="0" w:firstLineChars="0"/>
              <w:jc w:val="center"/>
              <w:rPr>
                <w:b/>
                <w:bCs/>
                <w:color w:val="000000" w:themeColor="text1"/>
                <w:sz w:val="21"/>
                <w:szCs w:val="21"/>
                <w14:textFill>
                  <w14:solidFill>
                    <w14:schemeClr w14:val="tx1"/>
                  </w14:solidFill>
                </w14:textFill>
              </w:rPr>
            </w:pPr>
            <w:r>
              <w:rPr>
                <w:b/>
                <w:bCs/>
                <w:color w:val="000000" w:themeColor="text1"/>
                <w:sz w:val="21"/>
                <w:szCs w:val="21"/>
                <w14:textFill>
                  <w14:solidFill>
                    <w14:schemeClr w14:val="tx1"/>
                  </w14:solidFill>
                </w14:textFill>
              </w:rPr>
              <w:t>序号</w:t>
            </w:r>
          </w:p>
        </w:tc>
        <w:tc>
          <w:tcPr>
            <w:tcW w:w="1323" w:type="pct"/>
            <w:vAlign w:val="center"/>
          </w:tcPr>
          <w:p>
            <w:pPr>
              <w:spacing w:line="240" w:lineRule="auto"/>
              <w:ind w:firstLine="0" w:firstLineChars="0"/>
              <w:jc w:val="center"/>
              <w:rPr>
                <w:b/>
                <w:bCs/>
                <w:color w:val="000000" w:themeColor="text1"/>
                <w:sz w:val="21"/>
                <w:szCs w:val="21"/>
                <w14:textFill>
                  <w14:solidFill>
                    <w14:schemeClr w14:val="tx1"/>
                  </w14:solidFill>
                </w14:textFill>
              </w:rPr>
            </w:pPr>
            <w:r>
              <w:rPr>
                <w:b/>
                <w:bCs/>
                <w:color w:val="000000" w:themeColor="text1"/>
                <w:sz w:val="21"/>
                <w:szCs w:val="21"/>
                <w14:textFill>
                  <w14:solidFill>
                    <w14:schemeClr w14:val="tx1"/>
                  </w14:solidFill>
                </w14:textFill>
              </w:rPr>
              <w:t>河流名称</w:t>
            </w:r>
          </w:p>
        </w:tc>
        <w:tc>
          <w:tcPr>
            <w:tcW w:w="1523" w:type="pct"/>
            <w:vAlign w:val="center"/>
          </w:tcPr>
          <w:p>
            <w:pPr>
              <w:spacing w:line="240" w:lineRule="auto"/>
              <w:ind w:firstLine="0" w:firstLineChars="0"/>
              <w:jc w:val="center"/>
              <w:rPr>
                <w:b/>
                <w:bCs/>
                <w:color w:val="000000" w:themeColor="text1"/>
                <w:sz w:val="21"/>
                <w:szCs w:val="21"/>
                <w14:textFill>
                  <w14:solidFill>
                    <w14:schemeClr w14:val="tx1"/>
                  </w14:solidFill>
                </w14:textFill>
              </w:rPr>
            </w:pPr>
            <w:r>
              <w:rPr>
                <w:b/>
                <w:bCs/>
                <w:color w:val="000000" w:themeColor="text1"/>
                <w:sz w:val="21"/>
                <w:szCs w:val="21"/>
                <w14:textFill>
                  <w14:solidFill>
                    <w14:schemeClr w14:val="tx1"/>
                  </w14:solidFill>
                </w14:textFill>
              </w:rPr>
              <w:t>水体类别</w:t>
            </w:r>
          </w:p>
        </w:tc>
        <w:tc>
          <w:tcPr>
            <w:tcW w:w="1775" w:type="pct"/>
            <w:gridSpan w:val="2"/>
            <w:vAlign w:val="center"/>
          </w:tcPr>
          <w:p>
            <w:pPr>
              <w:spacing w:line="240" w:lineRule="auto"/>
              <w:ind w:firstLine="0" w:firstLineChars="0"/>
              <w:jc w:val="center"/>
              <w:rPr>
                <w:b/>
                <w:bCs/>
                <w:color w:val="000000" w:themeColor="text1"/>
                <w:sz w:val="21"/>
                <w:szCs w:val="21"/>
                <w14:textFill>
                  <w14:solidFill>
                    <w14:schemeClr w14:val="tx1"/>
                  </w14:solidFill>
                </w14:textFill>
              </w:rPr>
            </w:pPr>
            <w:r>
              <w:rPr>
                <w:b/>
                <w:bCs/>
                <w:color w:val="000000" w:themeColor="text1"/>
                <w:sz w:val="21"/>
                <w:szCs w:val="21"/>
                <w14:textFill>
                  <w14:solidFill>
                    <w14:schemeClr w14:val="tx1"/>
                  </w14:solidFill>
                </w14:textFill>
              </w:rPr>
              <w:t>路线与其关系</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377" w:type="pct"/>
            <w:vAlign w:val="center"/>
          </w:tcPr>
          <w:p>
            <w:pPr>
              <w:spacing w:line="240" w:lineRule="auto"/>
              <w:ind w:firstLine="0" w:firstLineChars="0"/>
              <w:jc w:val="center"/>
              <w:rPr>
                <w:color w:val="000000" w:themeColor="text1"/>
                <w:sz w:val="21"/>
                <w:szCs w:val="21"/>
                <w14:textFill>
                  <w14:solidFill>
                    <w14:schemeClr w14:val="tx1"/>
                  </w14:solidFill>
                </w14:textFill>
              </w:rPr>
            </w:pPr>
            <w:bookmarkStart w:id="81" w:name="_Hlk36442326"/>
            <w:r>
              <w:rPr>
                <w:color w:val="000000" w:themeColor="text1"/>
                <w:sz w:val="21"/>
                <w:szCs w:val="21"/>
                <w14:textFill>
                  <w14:solidFill>
                    <w14:schemeClr w14:val="tx1"/>
                  </w14:solidFill>
                </w14:textFill>
              </w:rPr>
              <w:t>1</w:t>
            </w:r>
          </w:p>
        </w:tc>
        <w:tc>
          <w:tcPr>
            <w:tcW w:w="1323"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灞河</w:t>
            </w:r>
          </w:p>
        </w:tc>
        <w:tc>
          <w:tcPr>
            <w:tcW w:w="1523"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Ⅲ类水体</w:t>
            </w:r>
          </w:p>
        </w:tc>
        <w:tc>
          <w:tcPr>
            <w:tcW w:w="1775" w:type="pct"/>
            <w:gridSpan w:val="2"/>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伴行</w:t>
            </w:r>
          </w:p>
        </w:tc>
      </w:tr>
      <w:bookmarkEnd w:id="81"/>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377"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w:t>
            </w:r>
          </w:p>
        </w:tc>
        <w:tc>
          <w:tcPr>
            <w:tcW w:w="1323"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 xml:space="preserve"> </w:t>
            </w:r>
            <w:r>
              <w:rPr>
                <w:rFonts w:hint="eastAsia"/>
                <w:color w:val="000000" w:themeColor="text1"/>
                <w:sz w:val="21"/>
                <w:szCs w:val="21"/>
                <w:lang w:eastAsia="zh-CN"/>
                <w14:textFill>
                  <w14:solidFill>
                    <w14:schemeClr w14:val="tx1"/>
                  </w14:solidFill>
                </w14:textFill>
              </w:rPr>
              <w:t>渭河</w:t>
            </w:r>
          </w:p>
        </w:tc>
        <w:tc>
          <w:tcPr>
            <w:tcW w:w="1523" w:type="pct"/>
            <w:vAlign w:val="center"/>
          </w:tcPr>
          <w:p>
            <w:pPr>
              <w:spacing w:line="240" w:lineRule="auto"/>
              <w:ind w:firstLine="0" w:firstLineChars="0"/>
              <w:jc w:val="center"/>
              <w:rPr>
                <w:rFonts w:hint="eastAsia" w:ascii="Times New Roman" w:hAnsi="Times New Roman" w:cs="Times New Roman"/>
                <w:color w:val="000000" w:themeColor="text1"/>
                <w:sz w:val="21"/>
                <w:szCs w:val="21"/>
                <w:lang w:eastAsia="zh-CN"/>
                <w14:textFill>
                  <w14:solidFill>
                    <w14:schemeClr w14:val="tx1"/>
                  </w14:solidFill>
                </w14:textFill>
              </w:rPr>
            </w:pPr>
            <w:r>
              <w:rPr>
                <w:rFonts w:hint="eastAsia"/>
                <w:color w:val="000000" w:themeColor="text1"/>
                <w:sz w:val="21"/>
                <w:szCs w:val="21"/>
                <w14:textFill>
                  <w14:solidFill>
                    <w14:schemeClr w14:val="tx1"/>
                  </w14:solidFill>
                </w14:textFill>
              </w:rPr>
              <w:t>Ⅲ类水体</w:t>
            </w:r>
            <w:bookmarkStart w:id="197" w:name="_GoBack"/>
            <w:bookmarkEnd w:id="197"/>
          </w:p>
        </w:tc>
        <w:tc>
          <w:tcPr>
            <w:tcW w:w="1775" w:type="pct"/>
            <w:gridSpan w:val="2"/>
            <w:vAlign w:val="center"/>
          </w:tcPr>
          <w:p>
            <w:pPr>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伴行</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94" w:hRule="atLeast"/>
          <w:jc w:val="center"/>
        </w:trPr>
        <w:tc>
          <w:tcPr>
            <w:tcW w:w="377"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w:t>
            </w:r>
          </w:p>
        </w:tc>
        <w:tc>
          <w:tcPr>
            <w:tcW w:w="1323" w:type="pct"/>
            <w:vAlign w:val="center"/>
          </w:tcPr>
          <w:p>
            <w:pPr>
              <w:spacing w:line="240" w:lineRule="auto"/>
              <w:ind w:firstLine="0" w:firstLineChars="0"/>
              <w:jc w:val="center"/>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太平河</w:t>
            </w:r>
            <w:r>
              <w:rPr>
                <w:rFonts w:hint="eastAsia"/>
                <w:color w:val="000000" w:themeColor="text1"/>
                <w:sz w:val="21"/>
                <w:szCs w:val="21"/>
                <w:lang w:val="en-US" w:eastAsia="zh-CN"/>
                <w14:textFill>
                  <w14:solidFill>
                    <w14:schemeClr w14:val="tx1"/>
                  </w14:solidFill>
                </w14:textFill>
              </w:rPr>
              <w:t xml:space="preserve"> </w:t>
            </w:r>
          </w:p>
        </w:tc>
        <w:tc>
          <w:tcPr>
            <w:tcW w:w="1523" w:type="pct"/>
            <w:vAlign w:val="center"/>
          </w:tcPr>
          <w:p>
            <w:pPr>
              <w:spacing w:line="240" w:lineRule="auto"/>
              <w:ind w:firstLine="0" w:firstLineChars="0"/>
              <w:jc w:val="center"/>
              <w:rPr>
                <w:rFonts w:hint="eastAsia" w:ascii="Times New Roman" w:hAnsi="Times New Roman" w:cs="Times New Roman"/>
                <w:color w:val="000000" w:themeColor="text1"/>
                <w:sz w:val="21"/>
                <w:szCs w:val="21"/>
                <w:lang w:eastAsia="zh-CN"/>
                <w14:textFill>
                  <w14:solidFill>
                    <w14:schemeClr w14:val="tx1"/>
                  </w14:solidFill>
                </w14:textFill>
              </w:rPr>
            </w:pPr>
            <w:r>
              <w:rPr>
                <w:rFonts w:hint="eastAsia" w:ascii="Times New Roman" w:hAnsi="Times New Roman" w:cs="Times New Roman"/>
                <w:color w:val="000000" w:themeColor="text1"/>
                <w:sz w:val="21"/>
                <w:szCs w:val="21"/>
                <w:lang w:eastAsia="zh-CN"/>
                <w14:textFill>
                  <w14:solidFill>
                    <w14:schemeClr w14:val="tx1"/>
                  </w14:solidFill>
                </w14:textFill>
              </w:rPr>
              <w:t>Ⅴ类水体</w:t>
            </w:r>
          </w:p>
        </w:tc>
        <w:tc>
          <w:tcPr>
            <w:tcW w:w="1775" w:type="pct"/>
            <w:gridSpan w:val="2"/>
            <w:vAlign w:val="center"/>
          </w:tcPr>
          <w:p>
            <w:pPr>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lang w:eastAsia="zh-CN"/>
                <w14:textFill>
                  <w14:solidFill>
                    <w14:schemeClr w14:val="tx1"/>
                  </w14:solidFill>
                </w14:textFill>
              </w:rPr>
              <w:t>伴行</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91" w:hRule="atLeast"/>
          <w:jc w:val="center"/>
        </w:trPr>
        <w:tc>
          <w:tcPr>
            <w:tcW w:w="377" w:type="pct"/>
            <w:vAlign w:val="center"/>
          </w:tcPr>
          <w:p>
            <w:pPr>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w:t>
            </w:r>
          </w:p>
        </w:tc>
        <w:tc>
          <w:tcPr>
            <w:tcW w:w="4622" w:type="pct"/>
            <w:gridSpan w:val="4"/>
            <w:vAlign w:val="center"/>
          </w:tcPr>
          <w:p>
            <w:pPr>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西安市灞河东地下水源保护区及服务区周围6km</w:t>
            </w:r>
            <w:r>
              <w:rPr>
                <w:rFonts w:hint="eastAsia"/>
                <w:color w:val="000000" w:themeColor="text1"/>
                <w:sz w:val="21"/>
                <w:szCs w:val="21"/>
                <w:vertAlign w:val="superscript"/>
                <w14:textFill>
                  <w14:solidFill>
                    <w14:schemeClr w14:val="tx1"/>
                  </w14:solidFill>
                </w14:textFill>
              </w:rPr>
              <w:t>2</w:t>
            </w:r>
            <w:r>
              <w:rPr>
                <w:rFonts w:hint="eastAsia"/>
                <w:color w:val="000000" w:themeColor="text1"/>
                <w:sz w:val="21"/>
                <w:szCs w:val="21"/>
                <w14:textFill>
                  <w14:solidFill>
                    <w14:schemeClr w14:val="tx1"/>
                  </w14:solidFill>
                </w14:textFill>
              </w:rPr>
              <w:t>内地下水。</w:t>
            </w:r>
          </w:p>
        </w:tc>
      </w:tr>
      <w:tr>
        <w:tblPrEx>
          <w:tblBorders>
            <w:top w:val="single" w:color="auto" w:sz="12" w:space="0"/>
            <w:left w:val="single" w:color="auto" w:sz="12" w:space="0"/>
            <w:bottom w:val="single" w:color="auto" w:sz="12" w:space="0"/>
            <w:right w:val="single" w:color="auto" w:sz="12" w:space="0"/>
            <w:insideH w:val="single" w:color="000000" w:sz="4" w:space="0"/>
            <w:insideV w:val="single" w:color="000000" w:sz="4" w:space="0"/>
          </w:tblBorders>
          <w:tblCellMar>
            <w:top w:w="0" w:type="dxa"/>
            <w:left w:w="108" w:type="dxa"/>
            <w:bottom w:w="0" w:type="dxa"/>
            <w:right w:w="108" w:type="dxa"/>
          </w:tblCellMar>
        </w:tblPrEx>
        <w:trPr>
          <w:gridAfter w:val="1"/>
          <w:wAfter w:w="696" w:type="pct"/>
          <w:trHeight w:val="6795" w:hRule="exact"/>
          <w:jc w:val="center"/>
        </w:trPr>
        <w:tc>
          <w:tcPr>
            <w:tcW w:w="4303" w:type="pct"/>
            <w:gridSpan w:val="4"/>
            <w:tcBorders>
              <w:top w:val="nil"/>
              <w:left w:val="nil"/>
              <w:bottom w:val="nil"/>
              <w:right w:val="nil"/>
            </w:tcBorders>
            <w:noWrap w:val="0"/>
            <w:vAlign w:val="center"/>
          </w:tcPr>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sz w:val="21"/>
                <w:szCs w:val="21"/>
                <w:lang w:eastAsia="zh-CN"/>
              </w:rPr>
            </w:pPr>
            <w:bookmarkStart w:id="82" w:name="_Toc80973308"/>
            <w:r>
              <w:rPr>
                <w:sz w:val="21"/>
              </w:rPr>
              <mc:AlternateContent>
                <mc:Choice Requires="wps">
                  <w:drawing>
                    <wp:anchor distT="0" distB="0" distL="114300" distR="114300" simplePos="0" relativeHeight="251661312" behindDoc="0" locked="0" layoutInCell="1" allowOverlap="1">
                      <wp:simplePos x="0" y="0"/>
                      <wp:positionH relativeFrom="column">
                        <wp:posOffset>2623185</wp:posOffset>
                      </wp:positionH>
                      <wp:positionV relativeFrom="paragraph">
                        <wp:posOffset>2480310</wp:posOffset>
                      </wp:positionV>
                      <wp:extent cx="75565" cy="75565"/>
                      <wp:effectExtent l="0" t="0" r="635" b="635"/>
                      <wp:wrapNone/>
                      <wp:docPr id="6" name="椭圆 6"/>
                      <wp:cNvGraphicFramePr/>
                      <a:graphic xmlns:a="http://schemas.openxmlformats.org/drawingml/2006/main">
                        <a:graphicData uri="http://schemas.microsoft.com/office/word/2010/wordprocessingShape">
                          <wps:wsp>
                            <wps:cNvSpPr/>
                            <wps:spPr>
                              <a:xfrm>
                                <a:off x="0" y="0"/>
                                <a:ext cx="75565" cy="75565"/>
                              </a:xfrm>
                              <a:prstGeom prst="ellipse">
                                <a:avLst/>
                              </a:prstGeom>
                              <a:solidFill>
                                <a:srgbClr val="00B050"/>
                              </a:solidFill>
                              <a:ln>
                                <a:noFill/>
                              </a:ln>
                            </wps:spPr>
                            <wps:bodyPr upright="1"/>
                          </wps:wsp>
                        </a:graphicData>
                      </a:graphic>
                    </wp:anchor>
                  </w:drawing>
                </mc:Choice>
                <mc:Fallback>
                  <w:pict>
                    <v:shape id="_x0000_s1026" o:spid="_x0000_s1026" o:spt="3" type="#_x0000_t3" style="position:absolute;left:0pt;margin-left:206.55pt;margin-top:195.3pt;height:5.95pt;width:5.95pt;z-index:251661312;mso-width-relative:page;mso-height-relative:page;" fillcolor="#00B050" filled="t" stroked="f" coordsize="21600,21600" o:gfxdata="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DaKBTu&#10;1wAAAAsBAAAPAAAAAAAAAAEAIAAAACIAAABkcnMvZG93bnJldi54bWxQSwECFAAUAAAACACHTuJA&#10;zl39CrABAABfAwAADgAAAAAAAAABACAAAAAmAQAAZHJzL2Uyb0RvYy54bWxQSwUGAAAAAAYABgBZ&#10;AQAASAUAAAAA&#10;">
                      <v:fill on="t" focussize="0,0"/>
                      <v:stroke on="f"/>
                      <v:imagedata o:title=""/>
                      <o:lock v:ext="edit" aspectratio="f"/>
                    </v:shape>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2329815</wp:posOffset>
                      </wp:positionH>
                      <wp:positionV relativeFrom="paragraph">
                        <wp:posOffset>1975485</wp:posOffset>
                      </wp:positionV>
                      <wp:extent cx="75565" cy="75565"/>
                      <wp:effectExtent l="0" t="0" r="635" b="635"/>
                      <wp:wrapNone/>
                      <wp:docPr id="8" name="椭圆 8"/>
                      <wp:cNvGraphicFramePr/>
                      <a:graphic xmlns:a="http://schemas.openxmlformats.org/drawingml/2006/main">
                        <a:graphicData uri="http://schemas.microsoft.com/office/word/2010/wordprocessingShape">
                          <wps:wsp>
                            <wps:cNvSpPr/>
                            <wps:spPr>
                              <a:xfrm>
                                <a:off x="0" y="0"/>
                                <a:ext cx="75565" cy="75565"/>
                              </a:xfrm>
                              <a:prstGeom prst="ellipse">
                                <a:avLst/>
                              </a:prstGeom>
                              <a:solidFill>
                                <a:srgbClr val="00B050"/>
                              </a:solidFill>
                              <a:ln>
                                <a:noFill/>
                              </a:ln>
                            </wps:spPr>
                            <wps:bodyPr upright="1"/>
                          </wps:wsp>
                        </a:graphicData>
                      </a:graphic>
                    </wp:anchor>
                  </w:drawing>
                </mc:Choice>
                <mc:Fallback>
                  <w:pict>
                    <v:shape id="_x0000_s1026" o:spid="_x0000_s1026" o:spt="3" type="#_x0000_t3" style="position:absolute;left:0pt;margin-left:183.45pt;margin-top:155.55pt;height:5.95pt;width:5.95pt;z-index:251662336;mso-width-relative:page;mso-height-relative:page;" fillcolor="#00B050" filled="t" stroked="f" coordsize="21600,21600" o:gfxdata="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BItvYT&#10;1wAAAAsBAAAPAAAAAAAAAAEAIAAAACIAAABkcnMvZG93bnJldi54bWxQSwECFAAUAAAACACHTuJA&#10;8+1BmrABAABfAwAADgAAAAAAAAABACAAAAAmAQAAZHJzL2Uyb0RvYy54bWxQSwUGAAAAAAYABgBZ&#10;AQAASAUAAAAA&#10;">
                      <v:fill on="t" focussize="0,0"/>
                      <v:stroke on="f"/>
                      <v:imagedata o:title=""/>
                      <o:lock v:ext="edit" aspectratio="f"/>
                    </v:shape>
                  </w:pict>
                </mc:Fallback>
              </mc:AlternateContent>
            </w:r>
            <w:r>
              <w:rPr>
                <w:sz w:val="21"/>
              </w:rPr>
              <mc:AlternateContent>
                <mc:Choice Requires="wps">
                  <w:drawing>
                    <wp:anchor distT="0" distB="0" distL="114300" distR="114300" simplePos="0" relativeHeight="251663360" behindDoc="0" locked="0" layoutInCell="1" allowOverlap="1">
                      <wp:simplePos x="0" y="0"/>
                      <wp:positionH relativeFrom="column">
                        <wp:posOffset>835025</wp:posOffset>
                      </wp:positionH>
                      <wp:positionV relativeFrom="paragraph">
                        <wp:posOffset>1946275</wp:posOffset>
                      </wp:positionV>
                      <wp:extent cx="913130" cy="247650"/>
                      <wp:effectExtent l="0" t="0" r="610870" b="11430"/>
                      <wp:wrapNone/>
                      <wp:docPr id="9" name="矩形标注 9"/>
                      <wp:cNvGraphicFramePr/>
                      <a:graphic xmlns:a="http://schemas.openxmlformats.org/drawingml/2006/main">
                        <a:graphicData uri="http://schemas.microsoft.com/office/word/2010/wordprocessingShape">
                          <wps:wsp>
                            <wps:cNvSpPr/>
                            <wps:spPr>
                              <a:xfrm>
                                <a:off x="0" y="0"/>
                                <a:ext cx="913130" cy="247650"/>
                              </a:xfrm>
                              <a:prstGeom prst="wedgeRectCallout">
                                <a:avLst>
                                  <a:gd name="adj1" fmla="val 116690"/>
                                  <a:gd name="adj2" fmla="val -22819"/>
                                </a:avLst>
                              </a:prstGeom>
                              <a:solidFill>
                                <a:srgbClr val="FFFFFF"/>
                              </a:solidFill>
                              <a:ln>
                                <a:noFill/>
                              </a:ln>
                            </wps:spPr>
                            <wps:txbx>
                              <w:txbxContent>
                                <w:p>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新建11号井</w:t>
                                  </w:r>
                                </w:p>
                              </w:txbxContent>
                            </wps:txbx>
                            <wps:bodyPr upright="1"/>
                          </wps:wsp>
                        </a:graphicData>
                      </a:graphic>
                    </wp:anchor>
                  </w:drawing>
                </mc:Choice>
                <mc:Fallback>
                  <w:pict>
                    <v:shape id="_x0000_s1026" o:spid="_x0000_s1026" o:spt="61" type="#_x0000_t61" style="position:absolute;left:0pt;margin-left:65.75pt;margin-top:153.25pt;height:19.5pt;width:71.9pt;z-index:251663360;mso-width-relative:page;mso-height-relative:page;" fillcolor="#FFFFFF" filled="t" stroked="f" coordsize="21600,21600" o:gfxdata="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0+HqGNgAAAALAQAADwAAAAAAAAABACAAAAAiAAAAZHJzL2Rvd25yZXYueG1sUEsBAhQAFAAA&#10;AAgAh07iQKflOU/vAQAAzgMAAA4AAAAAAAAAAQAgAAAAJwEAAGRycy9lMm9Eb2MueG1sUEsFBgAA&#10;AAAGAAYAWQEAAIgFAAAAAA==&#10;" adj="36005,5871">
                      <v:fill on="t"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新建11号井</w:t>
                            </w:r>
                          </w:p>
                        </w:txbxContent>
                      </v:textbox>
                    </v:shape>
                  </w:pict>
                </mc:Fallback>
              </mc:AlternateContent>
            </w:r>
            <w:r>
              <w:rPr>
                <w:sz w:val="21"/>
              </w:rPr>
              <mc:AlternateContent>
                <mc:Choice Requires="wps">
                  <w:drawing>
                    <wp:anchor distT="0" distB="0" distL="114300" distR="114300" simplePos="0" relativeHeight="251664384" behindDoc="0" locked="0" layoutInCell="1" allowOverlap="1">
                      <wp:simplePos x="0" y="0"/>
                      <wp:positionH relativeFrom="column">
                        <wp:posOffset>1187450</wp:posOffset>
                      </wp:positionH>
                      <wp:positionV relativeFrom="paragraph">
                        <wp:posOffset>2393950</wp:posOffset>
                      </wp:positionV>
                      <wp:extent cx="913130" cy="247650"/>
                      <wp:effectExtent l="0" t="0" r="610870" b="11430"/>
                      <wp:wrapNone/>
                      <wp:docPr id="10" name="矩形标注 10"/>
                      <wp:cNvGraphicFramePr/>
                      <a:graphic xmlns:a="http://schemas.openxmlformats.org/drawingml/2006/main">
                        <a:graphicData uri="http://schemas.microsoft.com/office/word/2010/wordprocessingShape">
                          <wps:wsp>
                            <wps:cNvSpPr/>
                            <wps:spPr>
                              <a:xfrm>
                                <a:off x="0" y="0"/>
                                <a:ext cx="913130" cy="247650"/>
                              </a:xfrm>
                              <a:prstGeom prst="wedgeRectCallout">
                                <a:avLst>
                                  <a:gd name="adj1" fmla="val 115648"/>
                                  <a:gd name="adj2" fmla="val 255"/>
                                </a:avLst>
                              </a:prstGeom>
                              <a:solidFill>
                                <a:srgbClr val="FFFFFF"/>
                              </a:solidFill>
                              <a:ln>
                                <a:noFill/>
                              </a:ln>
                            </wps:spPr>
                            <wps:txbx>
                              <w:txbxContent>
                                <w:p>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新建5号井</w:t>
                                  </w:r>
                                </w:p>
                              </w:txbxContent>
                            </wps:txbx>
                            <wps:bodyPr upright="1"/>
                          </wps:wsp>
                        </a:graphicData>
                      </a:graphic>
                    </wp:anchor>
                  </w:drawing>
                </mc:Choice>
                <mc:Fallback>
                  <w:pict>
                    <v:shape id="_x0000_s1026" o:spid="_x0000_s1026" o:spt="61" type="#_x0000_t61" style="position:absolute;left:0pt;margin-left:93.5pt;margin-top:188.5pt;height:19.5pt;width:71.9pt;z-index:251664384;mso-width-relative:page;mso-height-relative:page;" fillcolor="#FFFFFF" filled="t" stroked="f" coordsize="21600,21600" o:gfxdata="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Ndf&#10;u6XWAAAACwEAAA8AAAAAAAAAAQAgAAAAIgAAAGRycy9kb3ducmV2LnhtbFBLAQIUABQAAAAIAIdO&#10;4kClkPYM7AEAAM0DAAAOAAAAAAAAAAEAIAAAACUBAABkcnMvZTJvRG9jLnhtbFBLBQYAAAAABgAG&#10;AFkBAACDBQAAAAA=&#10;" adj="35780,10855">
                      <v:fill on="t"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新建5号井</w:t>
                            </w:r>
                          </w:p>
                        </w:txbxContent>
                      </v:textbox>
                    </v:shape>
                  </w:pict>
                </mc:Fallback>
              </mc:AlternateContent>
            </w:r>
            <w:r>
              <w:rPr>
                <w:sz w:val="21"/>
              </w:rPr>
              <mc:AlternateContent>
                <mc:Choice Requires="wps">
                  <w:drawing>
                    <wp:anchor distT="0" distB="0" distL="114300" distR="114300" simplePos="0" relativeHeight="251666432" behindDoc="0" locked="0" layoutInCell="1" allowOverlap="1">
                      <wp:simplePos x="0" y="0"/>
                      <wp:positionH relativeFrom="column">
                        <wp:posOffset>2825750</wp:posOffset>
                      </wp:positionH>
                      <wp:positionV relativeFrom="paragraph">
                        <wp:posOffset>422275</wp:posOffset>
                      </wp:positionV>
                      <wp:extent cx="722630" cy="247650"/>
                      <wp:effectExtent l="670560" t="0" r="8890" b="544830"/>
                      <wp:wrapNone/>
                      <wp:docPr id="7" name="矩形标注 7"/>
                      <wp:cNvGraphicFramePr/>
                      <a:graphic xmlns:a="http://schemas.openxmlformats.org/drawingml/2006/main">
                        <a:graphicData uri="http://schemas.microsoft.com/office/word/2010/wordprocessingShape">
                          <wps:wsp>
                            <wps:cNvSpPr/>
                            <wps:spPr>
                              <a:xfrm>
                                <a:off x="0" y="0"/>
                                <a:ext cx="722630" cy="247650"/>
                              </a:xfrm>
                              <a:prstGeom prst="wedgeRectCallout">
                                <a:avLst>
                                  <a:gd name="adj1" fmla="val -142764"/>
                                  <a:gd name="adj2" fmla="val 269486"/>
                                </a:avLst>
                              </a:prstGeom>
                              <a:solidFill>
                                <a:srgbClr val="FFFFFF"/>
                              </a:solidFill>
                              <a:ln>
                                <a:noFill/>
                              </a:ln>
                            </wps:spPr>
                            <wps:txbx>
                              <w:txbxContent>
                                <w:p>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原5号井</w:t>
                                  </w:r>
                                </w:p>
                              </w:txbxContent>
                            </wps:txbx>
                            <wps:bodyPr upright="1"/>
                          </wps:wsp>
                        </a:graphicData>
                      </a:graphic>
                    </wp:anchor>
                  </w:drawing>
                </mc:Choice>
                <mc:Fallback>
                  <w:pict>
                    <v:shape id="_x0000_s1026" o:spid="_x0000_s1026" o:spt="61" type="#_x0000_t61" style="position:absolute;left:0pt;margin-left:222.5pt;margin-top:33.25pt;height:19.5pt;width:56.9pt;z-index:251666432;mso-width-relative:page;mso-height-relative:page;" fillcolor="#FFFFFF" filled="t" stroked="f" coordsize="21600,21600" o:gfxdata="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HyLSybWAAAACgEAAA8AAAAAAAAAAQAgAAAAIgAAAGRycy9kb3ducmV2LnhtbFBLAQIUABQAAAAI&#10;AIdO4kBDz8YB7wEAAM8DAAAOAAAAAAAAAAEAIAAAACUBAABkcnMvZTJvRG9jLnhtbFBLBQYAAAAA&#10;BgAGAFkBAACGBQAAAAA=&#10;" adj="-20037,69009">
                      <v:fill on="t"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原5号井</w:t>
                            </w:r>
                          </w:p>
                        </w:txbxContent>
                      </v:textbox>
                    </v:shape>
                  </w:pict>
                </mc:Fallback>
              </mc:AlternateContent>
            </w:r>
            <w:r>
              <w:rPr>
                <w:sz w:val="21"/>
              </w:rPr>
              <mc:AlternateContent>
                <mc:Choice Requires="wps">
                  <w:drawing>
                    <wp:anchor distT="0" distB="0" distL="114300" distR="114300" simplePos="0" relativeHeight="251665408" behindDoc="0" locked="0" layoutInCell="1" allowOverlap="1">
                      <wp:simplePos x="0" y="0"/>
                      <wp:positionH relativeFrom="column">
                        <wp:posOffset>3035300</wp:posOffset>
                      </wp:positionH>
                      <wp:positionV relativeFrom="paragraph">
                        <wp:posOffset>679450</wp:posOffset>
                      </wp:positionV>
                      <wp:extent cx="807720" cy="247650"/>
                      <wp:effectExtent l="749300" t="0" r="12700" b="544830"/>
                      <wp:wrapNone/>
                      <wp:docPr id="5" name="矩形标注 5"/>
                      <wp:cNvGraphicFramePr/>
                      <a:graphic xmlns:a="http://schemas.openxmlformats.org/drawingml/2006/main">
                        <a:graphicData uri="http://schemas.microsoft.com/office/word/2010/wordprocessingShape">
                          <wps:wsp>
                            <wps:cNvSpPr/>
                            <wps:spPr>
                              <a:xfrm>
                                <a:off x="0" y="0"/>
                                <a:ext cx="807720" cy="247650"/>
                              </a:xfrm>
                              <a:prstGeom prst="wedgeRectCallout">
                                <a:avLst>
                                  <a:gd name="adj1" fmla="val -142764"/>
                                  <a:gd name="adj2" fmla="val 269486"/>
                                </a:avLst>
                              </a:prstGeom>
                              <a:solidFill>
                                <a:srgbClr val="FFFFFF"/>
                              </a:solidFill>
                              <a:ln>
                                <a:noFill/>
                              </a:ln>
                            </wps:spPr>
                            <wps:txbx>
                              <w:txbxContent>
                                <w:p>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原11号井</w:t>
                                  </w:r>
                                </w:p>
                              </w:txbxContent>
                            </wps:txbx>
                            <wps:bodyPr upright="1"/>
                          </wps:wsp>
                        </a:graphicData>
                      </a:graphic>
                    </wp:anchor>
                  </w:drawing>
                </mc:Choice>
                <mc:Fallback>
                  <w:pict>
                    <v:shape id="_x0000_s1026" o:spid="_x0000_s1026" o:spt="61" type="#_x0000_t61" style="position:absolute;left:0pt;margin-left:239pt;margin-top:53.5pt;height:19.5pt;width:63.6pt;z-index:251665408;mso-width-relative:page;mso-height-relative:page;" fillcolor="#FFFFFF" filled="t" stroked="f" coordsize="21600,21600" o:gfxdata="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DIJDJg1wAAAAsBAAAPAAAAAAAAAAEAIAAAACIAAABkcnMvZG93bnJldi54bWxQSwECFAAUAAAA&#10;CACHTuJAvHDfN+8BAADPAwAADgAAAAAAAAABACAAAAAmAQAAZHJzL2Uyb0RvYy54bWxQSwUGAAAA&#10;AAYABgBZAQAAhwUAAAAA&#10;" adj="-20037,69009">
                      <v:fill on="t" focussize="0,0"/>
                      <v:stroke on="f"/>
                      <v:imagedata o:title=""/>
                      <o:lock v:ext="edit" aspectratio="f"/>
                      <v:textbox>
                        <w:txbxContent>
                          <w:p>
                            <w:pPr>
                              <w:keepNext w:val="0"/>
                              <w:keepLines w:val="0"/>
                              <w:pageBreakBefore w:val="0"/>
                              <w:widowControl w:val="0"/>
                              <w:kinsoku/>
                              <w:wordWrap/>
                              <w:overflowPunct/>
                              <w:topLinePunct w:val="0"/>
                              <w:autoSpaceDE/>
                              <w:autoSpaceDN/>
                              <w:bidi w:val="0"/>
                              <w:adjustRightInd/>
                              <w:snapToGrid/>
                              <w:spacing w:line="240" w:lineRule="auto"/>
                              <w:ind w:firstLine="0" w:firstLineChars="0"/>
                              <w:textAlignment w:val="auto"/>
                              <w:rPr>
                                <w:rFonts w:hint="default" w:eastAsia="宋体"/>
                                <w:sz w:val="21"/>
                                <w:szCs w:val="21"/>
                                <w:lang w:val="en-US" w:eastAsia="zh-CN"/>
                              </w:rPr>
                            </w:pPr>
                            <w:r>
                              <w:rPr>
                                <w:rFonts w:hint="eastAsia"/>
                                <w:sz w:val="21"/>
                                <w:szCs w:val="21"/>
                                <w:lang w:val="en-US" w:eastAsia="zh-CN"/>
                              </w:rPr>
                              <w:t>原11号井</w:t>
                            </w:r>
                          </w:p>
                        </w:txbxContent>
                      </v:textbox>
                    </v:shape>
                  </w:pict>
                </mc:Fallback>
              </mc:AlternateContent>
            </w:r>
            <w:r>
              <w:rPr>
                <w:rFonts w:hint="eastAsia" w:ascii="宋体" w:hAnsi="宋体" w:cs="宋体"/>
                <w:color w:val="000000"/>
                <w:sz w:val="21"/>
                <w:szCs w:val="21"/>
                <w:lang w:val="en-US" w:eastAsia="zh-CN"/>
              </w:rPr>
              <w:drawing>
                <wp:inline distT="0" distB="0" distL="114300" distR="114300">
                  <wp:extent cx="4705985" cy="4220845"/>
                  <wp:effectExtent l="9525" t="9525" r="24130" b="21590"/>
                  <wp:docPr id="4" name="图片 3" descr="工程与灞河地下水关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工程与灞河地下水关系"/>
                          <pic:cNvPicPr>
                            <a:picLocks noChangeAspect="1"/>
                          </pic:cNvPicPr>
                        </pic:nvPicPr>
                        <pic:blipFill>
                          <a:blip r:embed="rId19"/>
                          <a:stretch>
                            <a:fillRect/>
                          </a:stretch>
                        </pic:blipFill>
                        <pic:spPr>
                          <a:xfrm>
                            <a:off x="0" y="0"/>
                            <a:ext cx="4705985" cy="4220845"/>
                          </a:xfrm>
                          <a:prstGeom prst="rect">
                            <a:avLst/>
                          </a:prstGeom>
                          <a:noFill/>
                          <a:ln w="9525" cap="flat" cmpd="sng">
                            <a:solidFill>
                              <a:srgbClr val="000000"/>
                            </a:solidFill>
                            <a:prstDash val="solid"/>
                            <a:miter/>
                            <a:headEnd type="none" w="med" len="med"/>
                            <a:tailEnd type="none" w="med" len="med"/>
                          </a:ln>
                        </pic:spPr>
                      </pic:pic>
                    </a:graphicData>
                  </a:graphic>
                </wp:inline>
              </w:drawing>
            </w:r>
          </w:p>
        </w:tc>
      </w:tr>
    </w:tbl>
    <w:p>
      <w:pPr>
        <w:pStyle w:val="10"/>
        <w:ind w:firstLine="321"/>
        <w:rPr>
          <w:color w:val="000000" w:themeColor="text1"/>
          <w14:textFill>
            <w14:solidFill>
              <w14:schemeClr w14:val="tx1"/>
            </w14:solidFill>
          </w14:textFill>
        </w:rPr>
      </w:pPr>
      <w:r>
        <w:rPr>
          <w:color w:val="000000" w:themeColor="text1"/>
          <w14:textFill>
            <w14:solidFill>
              <w14:schemeClr w14:val="tx1"/>
            </w14:solidFill>
          </w14:textFill>
        </w:rPr>
        <w:t>3.3 涉及环境风险物质情况</w:t>
      </w:r>
      <w:bookmarkEnd w:id="78"/>
      <w:bookmarkEnd w:id="82"/>
    </w:p>
    <w:p>
      <w:pPr>
        <w:ind w:firstLine="560"/>
        <w:rPr>
          <w:color w:val="000000" w:themeColor="text1"/>
          <w14:textFill>
            <w14:solidFill>
              <w14:schemeClr w14:val="tx1"/>
            </w14:solidFill>
          </w14:textFill>
        </w:rPr>
      </w:pPr>
      <w:bookmarkStart w:id="83" w:name="_Hlk7010154"/>
      <w:bookmarkEnd w:id="83"/>
      <w:bookmarkStart w:id="84" w:name="_Toc21396"/>
      <w:bookmarkEnd w:id="84"/>
      <w:bookmarkStart w:id="85" w:name="_Toc461992042"/>
      <w:bookmarkEnd w:id="85"/>
      <w:bookmarkStart w:id="86" w:name="_Toc456279498"/>
      <w:r>
        <w:rPr>
          <w:color w:val="000000" w:themeColor="text1"/>
          <w14:textFill>
            <w14:solidFill>
              <w14:schemeClr w14:val="tx1"/>
            </w14:solidFill>
          </w14:textFill>
        </w:rPr>
        <w:t>公路运输物资主要涉及化工、石化、医药、轻工、冶金、生活物资、农业、环保、建筑、教育等各个领域，按照《危险货物分类和品名编号》（GB</w:t>
      </w:r>
      <w:bookmarkEnd w:id="86"/>
      <w:r>
        <w:rPr>
          <w:color w:val="000000" w:themeColor="text1"/>
          <w14:textFill>
            <w14:solidFill>
              <w14:schemeClr w14:val="tx1"/>
            </w14:solidFill>
          </w14:textFill>
        </w:rPr>
        <w:t>6944-2012）涉及易燃液体、易燃固体、氧化剂和有机过氧化物、毒害品和感染性物品、腐蚀品等大类。</w:t>
      </w:r>
    </w:p>
    <w:p>
      <w:pPr>
        <w:ind w:firstLine="560"/>
        <w:rPr>
          <w:color w:val="000000" w:themeColor="text1"/>
          <w14:textFill>
            <w14:solidFill>
              <w14:schemeClr w14:val="tx1"/>
            </w14:solidFill>
          </w14:textFill>
        </w:rPr>
      </w:pPr>
      <w:bookmarkStart w:id="87" w:name="_Hlk7052280"/>
      <w:bookmarkEnd w:id="87"/>
      <w:bookmarkStart w:id="88" w:name="_Hlk81325678"/>
      <w:r>
        <w:rPr>
          <w:rFonts w:hint="eastAsia"/>
          <w:color w:val="000000" w:themeColor="text1"/>
          <w:highlight w:val="none"/>
          <w14:textFill>
            <w14:solidFill>
              <w14:schemeClr w14:val="tx1"/>
            </w14:solidFill>
          </w14:textFill>
        </w:rPr>
        <w:t>根据对项目区主要危险化学品调查，公路营运后，可能运输的危险化学品主要为油品、液化气等，其中，油罐车占危险品运输车辆的比重较大</w:t>
      </w:r>
      <w:r>
        <w:rPr>
          <w:color w:val="000000" w:themeColor="text1"/>
          <w:highlight w:val="none"/>
          <w14:textFill>
            <w14:solidFill>
              <w14:schemeClr w14:val="tx1"/>
            </w14:solidFill>
          </w14:textFill>
        </w:rPr>
        <w:t>。</w:t>
      </w:r>
      <w:bookmarkEnd w:id="88"/>
      <w:r>
        <w:rPr>
          <w:rFonts w:hint="eastAsia"/>
          <w:color w:val="000000" w:themeColor="text1"/>
          <w:highlight w:val="none"/>
          <w14:textFill>
            <w14:solidFill>
              <w14:schemeClr w14:val="tx1"/>
            </w14:solidFill>
          </w14:textFill>
        </w:rPr>
        <w:t>相关危化品</w:t>
      </w:r>
      <w:r>
        <w:rPr>
          <w:color w:val="000000" w:themeColor="text1"/>
          <w:highlight w:val="none"/>
          <w14:textFill>
            <w14:solidFill>
              <w14:schemeClr w14:val="tx1"/>
            </w14:solidFill>
          </w14:textFill>
        </w:rPr>
        <w:t>理化</w:t>
      </w:r>
      <w:r>
        <w:rPr>
          <w:color w:val="000000" w:themeColor="text1"/>
          <w14:textFill>
            <w14:solidFill>
              <w14:schemeClr w14:val="tx1"/>
            </w14:solidFill>
          </w14:textFill>
        </w:rPr>
        <w:t>性质见下表。</w:t>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 xml:space="preserve">表3-7  </w:t>
      </w:r>
      <w:bookmarkStart w:id="89" w:name="_Toc444845466"/>
      <w:bookmarkEnd w:id="89"/>
      <w:bookmarkStart w:id="90" w:name="_Toc431402293"/>
      <w:bookmarkEnd w:id="90"/>
      <w:r>
        <w:rPr>
          <w:color w:val="000000" w:themeColor="text1"/>
          <w:sz w:val="21"/>
          <w:szCs w:val="21"/>
          <w14:textFill>
            <w14:solidFill>
              <w14:schemeClr w14:val="tx1"/>
            </w14:solidFill>
          </w14:textFill>
        </w:rPr>
        <w:t>汽油的理化性质及危险特征表</w:t>
      </w:r>
    </w:p>
    <w:tbl>
      <w:tblPr>
        <w:tblStyle w:val="2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100"/>
        <w:gridCol w:w="2573"/>
        <w:gridCol w:w="1814"/>
        <w:gridCol w:w="346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615" w:type="pct"/>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名称</w:t>
            </w:r>
          </w:p>
        </w:tc>
        <w:tc>
          <w:tcPr>
            <w:tcW w:w="1438" w:type="pct"/>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汽油[闪点&lt;-18℃]</w:t>
            </w:r>
          </w:p>
        </w:tc>
        <w:tc>
          <w:tcPr>
            <w:tcW w:w="1014" w:type="pct"/>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英文名称</w:t>
            </w:r>
          </w:p>
        </w:tc>
        <w:tc>
          <w:tcPr>
            <w:tcW w:w="1933" w:type="pct"/>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Gasline（flash less than -18℃）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615" w:type="pct"/>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别名</w:t>
            </w:r>
          </w:p>
        </w:tc>
        <w:tc>
          <w:tcPr>
            <w:tcW w:w="1438" w:type="pct"/>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c>
          <w:tcPr>
            <w:tcW w:w="1014" w:type="pct"/>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分子式</w:t>
            </w:r>
          </w:p>
        </w:tc>
        <w:tc>
          <w:tcPr>
            <w:tcW w:w="1933" w:type="pct"/>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混合物</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98" w:hRule="atLeast"/>
          <w:jc w:val="center"/>
        </w:trPr>
        <w:tc>
          <w:tcPr>
            <w:tcW w:w="615" w:type="pct"/>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理化性质</w:t>
            </w:r>
          </w:p>
        </w:tc>
        <w:tc>
          <w:tcPr>
            <w:tcW w:w="4385" w:type="pct"/>
            <w:gridSpan w:val="3"/>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无色到浅黄色透明液体；相对密度：0.70～0.80；闪点：-58～10℃；爆炸极限：1.4%～7.6%；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615" w:type="pct"/>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危险特性</w:t>
            </w:r>
          </w:p>
        </w:tc>
        <w:tc>
          <w:tcPr>
            <w:tcW w:w="4385" w:type="pct"/>
            <w:gridSpan w:val="3"/>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高度易燃，蒸气与空气可形成爆炸性混合物，遇明火、高热易燃烧爆炸；蒸气比空气重，能在较低处扩散到相当远的地方，遇火源会着火回燃；流速过快，容易产生和积聚静电；在火场中，受热的容器有爆炸危险</w:t>
            </w:r>
            <w:r>
              <w:rPr>
                <w:rFonts w:hint="eastAsia"/>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615" w:type="pct"/>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健康危害</w:t>
            </w:r>
          </w:p>
        </w:tc>
        <w:tc>
          <w:tcPr>
            <w:tcW w:w="4385" w:type="pct"/>
            <w:gridSpan w:val="3"/>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急性毒性：大鼠口径LD50：67000mg/kg（120号溶剂汽油）；小鼠吸入LC50:13000mg/m</w:t>
            </w:r>
            <w:r>
              <w:rPr>
                <w:color w:val="000000" w:themeColor="text1"/>
                <w:sz w:val="21"/>
                <w:szCs w:val="21"/>
                <w:vertAlign w:val="superscript"/>
                <w14:textFill>
                  <w14:solidFill>
                    <w14:schemeClr w14:val="tx1"/>
                  </w14:solidFill>
                </w14:textFill>
              </w:rPr>
              <w:t>3</w:t>
            </w:r>
            <w:r>
              <w:rPr>
                <w:color w:val="000000" w:themeColor="text1"/>
                <w:sz w:val="21"/>
                <w:szCs w:val="21"/>
                <w14:textFill>
                  <w14:solidFill>
                    <w14:schemeClr w14:val="tx1"/>
                  </w14:solidFill>
                </w14:textFill>
              </w:rPr>
              <w:t>（2h）（120号溶剂汽油）；为麻醉性毒物；高浓度吸入汽油蒸气引起急性中毒，表现为中毒性脑病，出现精神症状、意识障碍。极高浓度吸入引起意识突然丧失、反射性呼吸停止。误将汽油吸入呼吸道可引起吸入性肺炎；皮肤长时间接触引起灼伤，个别发生急性皮炎；慢性中毒可引起周围神经病、中毒性脑病、肾脏损坏。可致皮肤损害。</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615" w:type="pct"/>
            <w:vAlign w:val="center"/>
          </w:tcPr>
          <w:p>
            <w:pPr>
              <w:pStyle w:val="56"/>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急救措施</w:t>
            </w:r>
          </w:p>
        </w:tc>
        <w:tc>
          <w:tcPr>
            <w:tcW w:w="4385" w:type="pct"/>
            <w:gridSpan w:val="3"/>
            <w:vAlign w:val="center"/>
          </w:tcPr>
          <w:p>
            <w:pPr>
              <w:pStyle w:val="56"/>
              <w:jc w:val="both"/>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皮肤接触：立即脱去污染的衣着，用肥皂水和清水彻底冲洗皮肤。若有刺激感，立即就医。眼睛接触：立即提起上下眼睑，用大量流动清水或生理盐水彻底冲洗至少15分钟。眼睛接触时，隐形眼睛要在专业人员指导下取出。就医。吸入：脱离现场至空气新鲜处。患者平卧、保暖并且保持安静。取出假牙，以防阻塞气管。若呼吸困难，给输氧。最好用活瓣气囊面罩勇气，呼吸心跳停止时，立即进行心肺复苏术。食入：若发生中毒与医生或应急中心联系。禁止催吐。如果病人发生呕吐，尽量使病人左侧卧且头向下低，保持口张开，以防止呕吐物被吸入。注意观察。若病人昏睡或意识不清，不能经口给予任何液体。若病人清醒，立即用清水清洗口腔，并给适当饮水。就医。</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trHeight w:val="461" w:hRule="atLeast"/>
          <w:jc w:val="center"/>
        </w:trPr>
        <w:tc>
          <w:tcPr>
            <w:tcW w:w="615" w:type="pct"/>
            <w:vAlign w:val="center"/>
          </w:tcPr>
          <w:p>
            <w:pPr>
              <w:pStyle w:val="56"/>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消防措施</w:t>
            </w:r>
          </w:p>
        </w:tc>
        <w:tc>
          <w:tcPr>
            <w:tcW w:w="4385" w:type="pct"/>
            <w:gridSpan w:val="3"/>
            <w:vAlign w:val="center"/>
          </w:tcPr>
          <w:p>
            <w:pPr>
              <w:pStyle w:val="56"/>
              <w:jc w:val="both"/>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危险特性：其蒸气与空气可形成爆炸性混合物，遇明火、高热极易燃烧爆炸。与氧化剂能发生强烈反应。其蒸气比空气重，能在较低处扩散到相当远的地方，遇火源会着火回燃。有害燃烧产物：一氧化碳、二氧化碳。灭火方法:喷水冷却容器，可能的话将容器从火场移至旷处。灭火剂：泡沫、干粉、二氧化碳。灭火注意事项：用水灭火无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61" w:hRule="atLeast"/>
          <w:jc w:val="center"/>
        </w:trPr>
        <w:tc>
          <w:tcPr>
            <w:tcW w:w="615" w:type="pct"/>
            <w:vAlign w:val="center"/>
          </w:tcPr>
          <w:p>
            <w:pPr>
              <w:pStyle w:val="56"/>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泄漏应急处理</w:t>
            </w:r>
          </w:p>
        </w:tc>
        <w:tc>
          <w:tcPr>
            <w:tcW w:w="4385" w:type="pct"/>
            <w:gridSpan w:val="3"/>
            <w:vAlign w:val="center"/>
          </w:tcPr>
          <w:p>
            <w:pPr>
              <w:pStyle w:val="56"/>
              <w:jc w:val="both"/>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应急行动：迅速撤离泄漏污染区人员至安全区，并进行隔离，严格限制出入。切断火源。建议应急处理人员戴自给正压式呼吸器，穿防静电工作服。尽可能切断泄漏源。防止流入下水道、排洪沟等限制性空间。小量泄漏：用矿土、蛭石或其它惰性材料吸收，或在保证安全情况下，就地焚烧。大量泄漏：构筑围堤或挖坑收容。用泡沫覆盖，降低蒸气灾害。用防爆泵转移至槽车或专用收集器内，回收或运至废物处理场所处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46" w:hRule="atLeast"/>
          <w:jc w:val="center"/>
        </w:trPr>
        <w:tc>
          <w:tcPr>
            <w:tcW w:w="615" w:type="pct"/>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环境影响</w:t>
            </w:r>
          </w:p>
        </w:tc>
        <w:tc>
          <w:tcPr>
            <w:tcW w:w="4385" w:type="pct"/>
            <w:gridSpan w:val="3"/>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在很低的浓度下对水生生物造成危害；在土壤中具有极强的迁移性；有一定的生物富集性；在低的浓度时能生物降解；在高浓度时，可使微生物中毒，不易生物降解。</w:t>
            </w:r>
          </w:p>
        </w:tc>
      </w:tr>
    </w:tbl>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表3-8  柴油的理化性质及危险特征表</w:t>
      </w:r>
    </w:p>
    <w:tbl>
      <w:tblPr>
        <w:tblStyle w:val="2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3"/>
        <w:gridCol w:w="1526"/>
        <w:gridCol w:w="3208"/>
        <w:gridCol w:w="33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1363" w:type="pct"/>
            <w:gridSpan w:val="2"/>
            <w:tcBorders>
              <w:top w:val="single" w:color="auto" w:sz="8" w:space="0"/>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类别与性质</w:t>
            </w:r>
          </w:p>
        </w:tc>
        <w:tc>
          <w:tcPr>
            <w:tcW w:w="3637" w:type="pct"/>
            <w:gridSpan w:val="2"/>
            <w:tcBorders>
              <w:top w:val="single" w:color="auto" w:sz="8"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危险有害特性与防护措施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63" w:type="pct"/>
            <w:gridSpan w:val="2"/>
            <w:tcBorders>
              <w:top w:val="single" w:color="auto" w:sz="4" w:space="0"/>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危规分类及编号</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易燃、可燃液体，危险性类别GB3.3类；火险类别乙A、乙B类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10" w:type="pct"/>
            <w:vMerge w:val="restart"/>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理化性质</w:t>
            </w: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外观与性状</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稍有粘性的浅黄至棕色液体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成分</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烷烃、芳烃、稀烃等，十六烷值不小于45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熔点（℃）</w:t>
            </w:r>
          </w:p>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-35～20</w:t>
            </w:r>
          </w:p>
        </w:tc>
        <w:tc>
          <w:tcPr>
            <w:tcW w:w="179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沸程（℃）：280～370</w:t>
            </w:r>
          </w:p>
        </w:tc>
        <w:tc>
          <w:tcPr>
            <w:tcW w:w="1844" w:type="pct"/>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相对密度：0.87～0.9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自燃点（℃）</w:t>
            </w:r>
          </w:p>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350～380</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闪点（℃）：-35#、-50#不低于45；</w:t>
            </w:r>
          </w:p>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-20#、-10#、0#、5#、10#不低于55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10" w:type="pct"/>
            <w:vMerge w:val="restart"/>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毒性及健康危害</w:t>
            </w: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接触限值</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中国MAC及美国TLV~TWA均未制定标准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侵入途径</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吸入，食入、经皮肤吸收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毒性</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具有刺激作用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健康危害</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吸入可引起吸入性肺炎。能经胎盘进入胎儿血中。柴油蒸气可引起眼、鼻刺激症状、头晕及头痛，皮肤接触可引起接触性皮炎、油性痤疮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10" w:type="pct"/>
            <w:vMerge w:val="restart"/>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燃烧爆炸危险性</w:t>
            </w: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燃 烧 性</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易燃，可燃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危险特性</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遇明火、高热度或接触氧化剂，有可引起燃烧爆炸的危险；遇高热时，容器内压力增大，有开裂和爆炸的危险。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top w:val="nil"/>
              <w:left w:val="single" w:color="auto" w:sz="8" w:space="0"/>
              <w:bottom w:val="single" w:color="auto" w:sz="8"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8"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禁 忌 物</w:t>
            </w:r>
          </w:p>
        </w:tc>
        <w:tc>
          <w:tcPr>
            <w:tcW w:w="3637" w:type="pct"/>
            <w:gridSpan w:val="2"/>
            <w:tcBorders>
              <w:top w:val="single" w:color="auto" w:sz="4" w:space="0"/>
              <w:left w:val="nil"/>
              <w:bottom w:val="single" w:color="auto" w:sz="8"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强氧化剂、卤素</w:t>
            </w:r>
          </w:p>
        </w:tc>
      </w:tr>
    </w:tbl>
    <w:p>
      <w:pPr>
        <w:pStyle w:val="55"/>
        <w:rPr>
          <w:color w:val="000000" w:themeColor="text1"/>
          <w:sz w:val="21"/>
          <w:szCs w:val="21"/>
          <w14:textFill>
            <w14:solidFill>
              <w14:schemeClr w14:val="tx1"/>
            </w14:solidFill>
          </w14:textFill>
        </w:rPr>
      </w:pPr>
      <w:bookmarkStart w:id="91" w:name="_Hlk68716325"/>
      <w:r>
        <w:rPr>
          <w:color w:val="000000" w:themeColor="text1"/>
          <w:sz w:val="21"/>
          <w:szCs w:val="21"/>
          <w14:textFill>
            <w14:solidFill>
              <w14:schemeClr w14:val="tx1"/>
            </w14:solidFill>
          </w14:textFill>
        </w:rPr>
        <w:t>表3-9  天然气的理化性质及危险特征表</w:t>
      </w:r>
    </w:p>
    <w:tbl>
      <w:tblPr>
        <w:tblStyle w:val="2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3"/>
        <w:gridCol w:w="1526"/>
        <w:gridCol w:w="3208"/>
        <w:gridCol w:w="33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97" w:hRule="atLeast"/>
          <w:jc w:val="center"/>
        </w:trPr>
        <w:tc>
          <w:tcPr>
            <w:tcW w:w="1363" w:type="pct"/>
            <w:gridSpan w:val="2"/>
            <w:tcBorders>
              <w:top w:val="single" w:color="auto" w:sz="8" w:space="0"/>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类别与性质</w:t>
            </w:r>
          </w:p>
        </w:tc>
        <w:tc>
          <w:tcPr>
            <w:tcW w:w="3637" w:type="pct"/>
            <w:gridSpan w:val="2"/>
            <w:tcBorders>
              <w:top w:val="single" w:color="auto" w:sz="8"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危险有害特性与防护措施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1363" w:type="pct"/>
            <w:gridSpan w:val="2"/>
            <w:tcBorders>
              <w:top w:val="single" w:color="auto" w:sz="4" w:space="0"/>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危规分类及编号</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易燃气体，第2.1类易燃气体，危险货物编号21007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10" w:type="pct"/>
            <w:vMerge w:val="restart"/>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理化性质</w:t>
            </w: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外观与性状</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无色无臭气体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   分</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主要成分为甲烷</w:t>
            </w:r>
            <w:r>
              <w:rPr>
                <w:rFonts w:hint="eastAsia"/>
                <w:color w:val="000000" w:themeColor="text1"/>
                <w:sz w:val="21"/>
                <w:szCs w:val="21"/>
                <w14:textFill>
                  <w14:solidFill>
                    <w14:schemeClr w14:val="tx1"/>
                  </w14:solidFill>
                </w14:textFill>
              </w:rPr>
              <w:t>（C</w:t>
            </w:r>
            <w:r>
              <w:rPr>
                <w:color w:val="000000" w:themeColor="text1"/>
                <w:sz w:val="21"/>
                <w:szCs w:val="21"/>
                <w14:textFill>
                  <w14:solidFill>
                    <w14:schemeClr w14:val="tx1"/>
                  </w14:solidFill>
                </w14:textFill>
              </w:rPr>
              <w:t>H4</w:t>
            </w:r>
            <w:r>
              <w:rPr>
                <w:rFonts w:hint="eastAsia"/>
                <w:color w:val="000000" w:themeColor="text1"/>
                <w:sz w:val="21"/>
                <w:szCs w:val="21"/>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熔点（℃）</w:t>
            </w:r>
          </w:p>
        </w:tc>
        <w:tc>
          <w:tcPr>
            <w:tcW w:w="179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-182.5</w:t>
            </w:r>
          </w:p>
        </w:tc>
        <w:tc>
          <w:tcPr>
            <w:tcW w:w="1844" w:type="pct"/>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相对密度：0.55（空气）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溶解性</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微溶于水，溶于乙醇、乙醚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10" w:type="pct"/>
            <w:vMerge w:val="restart"/>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毒性及健康危害</w:t>
            </w: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接触限值</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中国MAC及美国TLV~TWA均未制定标准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侵入途径</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吸入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top w:val="nil"/>
              <w:left w:val="single" w:color="auto" w:sz="8" w:space="0"/>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健康危害</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急性中毒时，可有头晕、头疼、呕吐、乏力甚至昏迷。病程中尚可出现精神症状，步态不稳，昏迷过程久者，醒后可有运动性失语或偏瘫。长期接触天然气者，可出现精神衰弱综合症。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510" w:type="pct"/>
            <w:vMerge w:val="restart"/>
            <w:tcBorders>
              <w:top w:val="nil"/>
              <w:left w:val="single" w:color="auto" w:sz="8"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燃烧爆炸危险性</w:t>
            </w: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燃 烧 性</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易燃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left w:val="single" w:color="auto" w:sz="8"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危险特性</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与空气混合能形成爆炸性混合物，遇明火、高热极易燃烧爆炸，与氟、氯等能发生剧烈的化学反应，其蒸气遇明火会引着回燃。若遇高热，容器内压增大，有开裂和爆炸的危险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vMerge w:val="continue"/>
            <w:tcBorders>
              <w:left w:val="single" w:color="auto" w:sz="8" w:space="0"/>
              <w:right w:val="single" w:color="auto" w:sz="4" w:space="0"/>
            </w:tcBorders>
            <w:vAlign w:val="center"/>
          </w:tcPr>
          <w:p>
            <w:pPr>
              <w:pStyle w:val="58"/>
              <w:rPr>
                <w:color w:val="000000" w:themeColor="text1"/>
                <w:sz w:val="21"/>
                <w:szCs w:val="21"/>
                <w14:textFill>
                  <w14:solidFill>
                    <w14:schemeClr w14:val="tx1"/>
                  </w14:solidFill>
                </w14:textFill>
              </w:rPr>
            </w:pPr>
          </w:p>
        </w:tc>
        <w:tc>
          <w:tcPr>
            <w:tcW w:w="853" w:type="pct"/>
            <w:tcBorders>
              <w:top w:val="single" w:color="auto" w:sz="4" w:space="0"/>
              <w:left w:val="nil"/>
              <w:bottom w:val="single" w:color="auto" w:sz="4" w:space="0"/>
              <w:right w:val="single" w:color="auto" w:sz="4"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禁 忌 物</w:t>
            </w:r>
          </w:p>
        </w:tc>
        <w:tc>
          <w:tcPr>
            <w:tcW w:w="3637" w:type="pct"/>
            <w:gridSpan w:val="2"/>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强氧化剂、卤素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tcBorders>
              <w:left w:val="single" w:color="auto" w:sz="8" w:space="0"/>
              <w:right w:val="single" w:color="auto" w:sz="4" w:space="0"/>
            </w:tcBorders>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急救</w:t>
            </w:r>
          </w:p>
        </w:tc>
        <w:tc>
          <w:tcPr>
            <w:tcW w:w="4490" w:type="pct"/>
            <w:gridSpan w:val="3"/>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皮肤冻伤：若有冻伤，就医治疗。吸入：迅速脱离现场至空气新鲜处，保持呼吸道通畅。如呼吸困难，给输氧。如呼吸停止，立即进行人工呼吸就医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tcBorders>
              <w:left w:val="single" w:color="auto" w:sz="8" w:space="0"/>
              <w:right w:val="single" w:color="auto" w:sz="4" w:space="0"/>
            </w:tcBorders>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防护</w:t>
            </w:r>
          </w:p>
        </w:tc>
        <w:tc>
          <w:tcPr>
            <w:tcW w:w="4490" w:type="pct"/>
            <w:gridSpan w:val="3"/>
            <w:tcBorders>
              <w:top w:val="single" w:color="auto" w:sz="4" w:space="0"/>
              <w:left w:val="nil"/>
              <w:bottom w:val="single" w:color="auto" w:sz="4" w:space="0"/>
              <w:right w:val="single" w:color="auto" w:sz="8" w:space="0"/>
            </w:tcBorders>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个人防护：一般不需要特殊防护，但建议特殊情况下，佩戴自吸过滤式防毒面具（半面罩)。眼睛防护一不需要特殊防护，高浓度接触时可戴安全防护眼镜，穿防静电工作服。戴一般作业防护手套。工作现场严禁吸烟。避免长期反复接触，进入罐、限制性空间或其它高浓度区作业，须有人监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jc w:val="center"/>
        </w:trPr>
        <w:tc>
          <w:tcPr>
            <w:tcW w:w="0" w:type="auto"/>
            <w:tcBorders>
              <w:left w:val="single" w:color="auto" w:sz="8" w:space="0"/>
              <w:bottom w:val="single" w:color="auto" w:sz="8" w:space="0"/>
              <w:right w:val="single" w:color="auto" w:sz="4" w:space="0"/>
            </w:tcBorders>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泄漏处理</w:t>
            </w:r>
          </w:p>
        </w:tc>
        <w:tc>
          <w:tcPr>
            <w:tcW w:w="4490" w:type="pct"/>
            <w:gridSpan w:val="3"/>
            <w:tcBorders>
              <w:top w:val="single" w:color="auto" w:sz="4" w:space="0"/>
              <w:left w:val="nil"/>
              <w:bottom w:val="single" w:color="auto" w:sz="8" w:space="0"/>
              <w:right w:val="single" w:color="auto" w:sz="8" w:space="0"/>
            </w:tcBorders>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迅速撤离泄漏污染区人员至上风处，并进行隔离，严格限制出入。切断火源。建议应急处理人员戴自给正压式呼吸器，穿消防防护服。尽可能切断泄漏源。合理通风，加速扩散。喷雾状水稀释、溶解。构筑围堤或挖坑收容产生的大量废水。可以将漏气的容器移至空旷处，注意通风。漏气容器要妥善处理。</w:t>
            </w:r>
          </w:p>
        </w:tc>
      </w:tr>
    </w:tbl>
    <w:p>
      <w:pPr>
        <w:pStyle w:val="56"/>
        <w:rPr>
          <w:color w:val="000000" w:themeColor="text1"/>
          <w:sz w:val="21"/>
          <w:szCs w:val="21"/>
          <w14:textFill>
            <w14:solidFill>
              <w14:schemeClr w14:val="tx1"/>
            </w14:solidFill>
          </w14:textFill>
        </w:rPr>
      </w:pPr>
    </w:p>
    <w:bookmarkEnd w:id="91"/>
    <w:p>
      <w:pPr>
        <w:pStyle w:val="10"/>
        <w:ind w:firstLine="321"/>
        <w:rPr>
          <w:color w:val="000000" w:themeColor="text1"/>
          <w14:textFill>
            <w14:solidFill>
              <w14:schemeClr w14:val="tx1"/>
            </w14:solidFill>
          </w14:textFill>
        </w:rPr>
      </w:pPr>
      <w:bookmarkStart w:id="92" w:name="_Toc47541601"/>
      <w:bookmarkEnd w:id="92"/>
      <w:bookmarkStart w:id="93" w:name="_Toc69739735"/>
      <w:bookmarkStart w:id="94" w:name="_Toc80973309"/>
      <w:r>
        <w:rPr>
          <w:color w:val="000000" w:themeColor="text1"/>
          <w14:textFill>
            <w14:solidFill>
              <w14:schemeClr w14:val="tx1"/>
            </w14:solidFill>
          </w14:textFill>
        </w:rPr>
        <w:t>3.4 现有环境风险防控与应急措施情况</w:t>
      </w:r>
      <w:bookmarkEnd w:id="93"/>
      <w:bookmarkEnd w:id="94"/>
    </w:p>
    <w:p>
      <w:pPr>
        <w:ind w:firstLine="560"/>
        <w:rPr>
          <w:color w:val="auto"/>
        </w:rPr>
      </w:pPr>
      <w:r>
        <w:rPr>
          <w:color w:val="auto"/>
        </w:rPr>
        <w:t>本公司针对危化品车辆现有风险措施如下：</w:t>
      </w:r>
    </w:p>
    <w:p>
      <w:pPr>
        <w:ind w:firstLine="560"/>
        <w:rPr>
          <w:color w:val="auto"/>
        </w:rPr>
      </w:pPr>
      <w:r>
        <w:rPr>
          <w:rFonts w:hint="eastAsia"/>
          <w:color w:val="auto"/>
        </w:rPr>
        <w:t>（1）</w:t>
      </w:r>
      <w:r>
        <w:rPr>
          <w:color w:val="auto"/>
        </w:rPr>
        <w:t>项目在</w:t>
      </w:r>
      <w:r>
        <w:rPr>
          <w:rFonts w:hint="eastAsia"/>
          <w:color w:val="auto"/>
          <w:lang w:eastAsia="zh-CN"/>
        </w:rPr>
        <w:t>灞河地下水源二级</w:t>
      </w:r>
      <w:r>
        <w:rPr>
          <w:color w:val="auto"/>
        </w:rPr>
        <w:t>保护区采用加强型防撞护栏，设置警示标志。</w:t>
      </w:r>
    </w:p>
    <w:p>
      <w:pPr>
        <w:ind w:firstLine="560"/>
        <w:rPr>
          <w:rFonts w:hint="eastAsia" w:ascii="Times New Roman" w:hAnsi="Times New Roman" w:cs="Times New Roman"/>
          <w:color w:val="auto"/>
          <w:sz w:val="24"/>
          <w:szCs w:val="24"/>
          <w:highlight w:val="yellow"/>
          <w:lang w:val="en-US" w:eastAsia="zh-CN"/>
        </w:rPr>
      </w:pPr>
      <w:r>
        <w:rPr>
          <w:rFonts w:hint="eastAsia"/>
          <w:color w:val="auto"/>
          <w:sz w:val="24"/>
          <w:szCs w:val="24"/>
        </w:rPr>
        <w:t>（2）路线在</w:t>
      </w:r>
      <w:r>
        <w:rPr>
          <w:rFonts w:hint="eastAsia"/>
          <w:color w:val="auto"/>
          <w:sz w:val="24"/>
          <w:szCs w:val="24"/>
          <w:lang w:eastAsia="zh-CN"/>
        </w:rPr>
        <w:t>灞东地下水源二级保护区（田王立交）、</w:t>
      </w:r>
      <w:r>
        <w:rPr>
          <w:rFonts w:hint="eastAsia"/>
          <w:color w:val="auto"/>
          <w:sz w:val="24"/>
          <w:szCs w:val="24"/>
        </w:rPr>
        <w:t>伴行渭河（秦汉立交处）、太平河（西咸立交处）敏感水体的桥梁设桥面径流收集系统，由集水管道将</w:t>
      </w:r>
      <w:r>
        <w:rPr>
          <w:rFonts w:hint="eastAsia"/>
          <w:color w:val="auto"/>
          <w:sz w:val="24"/>
          <w:szCs w:val="24"/>
          <w:lang w:eastAsia="zh-CN"/>
        </w:rPr>
        <w:t>桥面径流</w:t>
      </w:r>
      <w:r>
        <w:rPr>
          <w:rFonts w:hint="eastAsia"/>
          <w:color w:val="auto"/>
          <w:sz w:val="24"/>
          <w:szCs w:val="24"/>
        </w:rPr>
        <w:t>全部引入设置的收集池（事故池）进行暂存，</w:t>
      </w:r>
      <w:r>
        <w:rPr>
          <w:rFonts w:hint="eastAsia"/>
          <w:color w:val="auto"/>
          <w:sz w:val="24"/>
          <w:szCs w:val="24"/>
          <w:lang w:eastAsia="zh-CN"/>
        </w:rPr>
        <w:t>不</w:t>
      </w:r>
      <w:r>
        <w:rPr>
          <w:rFonts w:hint="eastAsia"/>
          <w:color w:val="auto"/>
          <w:sz w:val="24"/>
          <w:szCs w:val="24"/>
        </w:rPr>
        <w:t>外排</w:t>
      </w:r>
      <w:r>
        <w:rPr>
          <w:rFonts w:hint="eastAsia"/>
          <w:color w:val="auto"/>
          <w:sz w:val="24"/>
          <w:szCs w:val="24"/>
          <w:highlight w:val="none"/>
        </w:rPr>
        <w:t>。</w:t>
      </w:r>
      <w:bookmarkStart w:id="95" w:name="_Hlk45587151"/>
      <w:r>
        <w:rPr>
          <w:rFonts w:hint="eastAsia"/>
          <w:color w:val="auto"/>
          <w:sz w:val="24"/>
          <w:szCs w:val="24"/>
        </w:rPr>
        <w:t>田王立交</w:t>
      </w:r>
      <w:r>
        <w:rPr>
          <w:rFonts w:hint="eastAsia"/>
          <w:color w:val="auto"/>
          <w:sz w:val="24"/>
          <w:szCs w:val="24"/>
          <w:highlight w:val="none"/>
        </w:rPr>
        <w:t xml:space="preserve">共设桥面径流收集管总长5070 </w:t>
      </w:r>
      <w:r>
        <w:rPr>
          <w:color w:val="auto"/>
          <w:sz w:val="24"/>
          <w:szCs w:val="24"/>
          <w:highlight w:val="none"/>
        </w:rPr>
        <w:t>m</w:t>
      </w:r>
      <w:r>
        <w:rPr>
          <w:rFonts w:hint="eastAsia"/>
          <w:color w:val="auto"/>
          <w:sz w:val="24"/>
          <w:szCs w:val="24"/>
          <w:highlight w:val="none"/>
        </w:rPr>
        <w:t>，事故应急池</w:t>
      </w:r>
      <w:r>
        <w:rPr>
          <w:rFonts w:hint="eastAsia"/>
          <w:color w:val="auto"/>
          <w:sz w:val="24"/>
          <w:szCs w:val="24"/>
          <w:highlight w:val="none"/>
          <w:lang w:val="en-US" w:eastAsia="zh-CN"/>
        </w:rPr>
        <w:t>2</w:t>
      </w:r>
      <w:r>
        <w:rPr>
          <w:rFonts w:hint="eastAsia"/>
          <w:color w:val="auto"/>
          <w:sz w:val="24"/>
          <w:szCs w:val="24"/>
          <w:highlight w:val="none"/>
        </w:rPr>
        <w:t>个，容积</w:t>
      </w:r>
      <w:r>
        <w:rPr>
          <w:rFonts w:hint="eastAsia"/>
          <w:color w:val="auto"/>
          <w:sz w:val="24"/>
          <w:szCs w:val="24"/>
          <w:highlight w:val="none"/>
          <w:lang w:eastAsia="zh-CN"/>
        </w:rPr>
        <w:t>均</w:t>
      </w:r>
      <w:r>
        <w:rPr>
          <w:rFonts w:hint="eastAsia"/>
          <w:color w:val="auto"/>
          <w:sz w:val="24"/>
          <w:szCs w:val="24"/>
          <w:highlight w:val="none"/>
        </w:rPr>
        <w:t>为</w:t>
      </w:r>
      <w:r>
        <w:rPr>
          <w:rFonts w:hint="eastAsia"/>
          <w:color w:val="auto"/>
          <w:sz w:val="24"/>
          <w:szCs w:val="24"/>
          <w:highlight w:val="none"/>
          <w:lang w:val="en-US" w:eastAsia="zh-CN"/>
        </w:rPr>
        <w:t>2700</w:t>
      </w:r>
      <w:r>
        <w:rPr>
          <w:rFonts w:hint="eastAsia"/>
          <w:color w:val="auto"/>
          <w:sz w:val="24"/>
          <w:szCs w:val="24"/>
          <w:highlight w:val="none"/>
        </w:rPr>
        <w:t xml:space="preserve"> m</w:t>
      </w:r>
      <w:r>
        <w:rPr>
          <w:rFonts w:hint="eastAsia"/>
          <w:color w:val="auto"/>
          <w:sz w:val="24"/>
          <w:szCs w:val="24"/>
          <w:highlight w:val="none"/>
          <w:vertAlign w:val="superscript"/>
        </w:rPr>
        <w:t>3</w:t>
      </w:r>
      <w:bookmarkEnd w:id="95"/>
      <w:r>
        <w:rPr>
          <w:rFonts w:hint="eastAsia"/>
          <w:color w:val="auto"/>
          <w:sz w:val="24"/>
          <w:szCs w:val="24"/>
          <w:lang w:eastAsia="zh-CN"/>
        </w:rPr>
        <w:t>。</w:t>
      </w:r>
      <w:r>
        <w:rPr>
          <w:rFonts w:hint="eastAsia" w:ascii="Times New Roman" w:hAnsi="Times New Roman" w:cs="Times New Roman"/>
          <w:color w:val="auto"/>
          <w:sz w:val="24"/>
          <w:szCs w:val="24"/>
          <w:highlight w:val="none"/>
          <w:lang w:val="en-US" w:eastAsia="zh-CN"/>
        </w:rPr>
        <w:t>秦汉立交共设</w:t>
      </w:r>
      <w:r>
        <w:rPr>
          <w:rFonts w:hint="eastAsia" w:cs="Times New Roman"/>
          <w:color w:val="auto"/>
          <w:sz w:val="24"/>
          <w:szCs w:val="24"/>
          <w:highlight w:val="none"/>
          <w:lang w:val="en-US" w:eastAsia="zh-CN"/>
        </w:rPr>
        <w:t>桥面及</w:t>
      </w:r>
      <w:r>
        <w:rPr>
          <w:rFonts w:hint="eastAsia" w:ascii="Times New Roman" w:hAnsi="Times New Roman" w:cs="Times New Roman"/>
          <w:color w:val="auto"/>
          <w:sz w:val="24"/>
          <w:szCs w:val="24"/>
          <w:highlight w:val="none"/>
          <w:lang w:val="en-US" w:eastAsia="zh-CN"/>
        </w:rPr>
        <w:t>路面径流</w:t>
      </w:r>
      <w:r>
        <w:rPr>
          <w:rFonts w:hint="eastAsia" w:cs="Times New Roman"/>
          <w:color w:val="auto"/>
          <w:sz w:val="24"/>
          <w:szCs w:val="24"/>
          <w:highlight w:val="none"/>
          <w:lang w:val="en-US" w:eastAsia="zh-CN"/>
        </w:rPr>
        <w:t>边沟3051.6m，</w:t>
      </w:r>
      <w:r>
        <w:rPr>
          <w:rFonts w:hint="eastAsia" w:ascii="Times New Roman" w:hAnsi="Times New Roman" w:cs="Times New Roman"/>
          <w:color w:val="auto"/>
          <w:sz w:val="24"/>
          <w:szCs w:val="24"/>
          <w:highlight w:val="none"/>
          <w:lang w:val="en-US" w:eastAsia="zh-CN"/>
        </w:rPr>
        <w:t>事故应急池</w:t>
      </w:r>
      <w:r>
        <w:rPr>
          <w:rFonts w:hint="eastAsia" w:cs="Times New Roman"/>
          <w:color w:val="auto"/>
          <w:sz w:val="24"/>
          <w:szCs w:val="24"/>
          <w:highlight w:val="none"/>
          <w:lang w:val="en-US" w:eastAsia="zh-CN"/>
        </w:rPr>
        <w:t>1</w:t>
      </w:r>
      <w:r>
        <w:rPr>
          <w:rFonts w:hint="eastAsia" w:ascii="Times New Roman" w:hAnsi="Times New Roman" w:cs="Times New Roman"/>
          <w:color w:val="auto"/>
          <w:sz w:val="24"/>
          <w:szCs w:val="24"/>
          <w:highlight w:val="none"/>
          <w:lang w:val="en-US" w:eastAsia="zh-CN"/>
        </w:rPr>
        <w:t>个，容积</w:t>
      </w:r>
      <w:r>
        <w:rPr>
          <w:rFonts w:hint="eastAsia" w:cs="Times New Roman"/>
          <w:color w:val="auto"/>
          <w:sz w:val="24"/>
          <w:szCs w:val="24"/>
          <w:highlight w:val="none"/>
          <w:lang w:val="en-US" w:eastAsia="zh-CN"/>
        </w:rPr>
        <w:t>约为900</w:t>
      </w:r>
      <w:r>
        <w:rPr>
          <w:rFonts w:hint="eastAsia" w:ascii="Times New Roman" w:hAnsi="Times New Roman" w:cs="Times New Roman"/>
          <w:color w:val="auto"/>
          <w:sz w:val="24"/>
          <w:szCs w:val="24"/>
          <w:highlight w:val="none"/>
          <w:lang w:val="en-US" w:eastAsia="zh-CN"/>
        </w:rPr>
        <w:t xml:space="preserve"> m</w:t>
      </w:r>
      <w:r>
        <w:rPr>
          <w:rFonts w:hint="eastAsia" w:ascii="Times New Roman" w:hAnsi="Times New Roman" w:cs="Times New Roman"/>
          <w:color w:val="auto"/>
          <w:sz w:val="24"/>
          <w:szCs w:val="24"/>
          <w:highlight w:val="none"/>
          <w:vertAlign w:val="superscript"/>
          <w:lang w:val="en-US" w:eastAsia="zh-CN"/>
        </w:rPr>
        <w:t>3</w:t>
      </w:r>
      <w:r>
        <w:rPr>
          <w:rFonts w:hint="eastAsia" w:ascii="Times New Roman" w:hAnsi="Times New Roman" w:cs="Times New Roman"/>
          <w:color w:val="auto"/>
          <w:sz w:val="24"/>
          <w:szCs w:val="24"/>
          <w:highlight w:val="none"/>
          <w:lang w:val="en-US" w:eastAsia="zh-CN"/>
        </w:rPr>
        <w:t>。</w:t>
      </w:r>
      <w:r>
        <w:rPr>
          <w:rFonts w:hint="eastAsia"/>
          <w:color w:val="auto"/>
          <w:sz w:val="24"/>
          <w:szCs w:val="24"/>
        </w:rPr>
        <w:t>西咸立交</w:t>
      </w:r>
      <w:r>
        <w:rPr>
          <w:rFonts w:hint="eastAsia" w:ascii="Times New Roman" w:hAnsi="Times New Roman" w:cs="Times New Roman"/>
          <w:color w:val="auto"/>
          <w:sz w:val="24"/>
          <w:szCs w:val="24"/>
          <w:highlight w:val="none"/>
          <w:lang w:val="en-US" w:eastAsia="zh-CN"/>
        </w:rPr>
        <w:t>共设径流</w:t>
      </w:r>
      <w:r>
        <w:rPr>
          <w:rFonts w:hint="eastAsia" w:cs="Times New Roman"/>
          <w:color w:val="auto"/>
          <w:sz w:val="24"/>
          <w:szCs w:val="24"/>
          <w:highlight w:val="none"/>
          <w:lang w:val="en-US" w:eastAsia="zh-CN"/>
        </w:rPr>
        <w:t>边沟总长3675.5m，</w:t>
      </w:r>
      <w:r>
        <w:rPr>
          <w:rFonts w:hint="eastAsia" w:ascii="Times New Roman" w:hAnsi="Times New Roman" w:cs="Times New Roman"/>
          <w:color w:val="auto"/>
          <w:sz w:val="24"/>
          <w:szCs w:val="24"/>
          <w:highlight w:val="none"/>
          <w:lang w:val="en-US" w:eastAsia="zh-CN"/>
        </w:rPr>
        <w:t>事故应急池</w:t>
      </w:r>
      <w:r>
        <w:rPr>
          <w:rFonts w:hint="eastAsia" w:cs="Times New Roman"/>
          <w:color w:val="auto"/>
          <w:sz w:val="24"/>
          <w:szCs w:val="24"/>
          <w:highlight w:val="none"/>
          <w:lang w:val="en-US" w:eastAsia="zh-CN"/>
        </w:rPr>
        <w:t>3</w:t>
      </w:r>
      <w:r>
        <w:rPr>
          <w:rFonts w:hint="eastAsia" w:ascii="Times New Roman" w:hAnsi="Times New Roman" w:cs="Times New Roman"/>
          <w:color w:val="auto"/>
          <w:sz w:val="24"/>
          <w:szCs w:val="24"/>
          <w:highlight w:val="none"/>
          <w:lang w:val="en-US" w:eastAsia="zh-CN"/>
        </w:rPr>
        <w:t>个</w:t>
      </w:r>
      <w:r>
        <w:rPr>
          <w:rFonts w:hint="eastAsia" w:cs="Times New Roman"/>
          <w:color w:val="auto"/>
          <w:sz w:val="24"/>
          <w:szCs w:val="24"/>
          <w:highlight w:val="none"/>
          <w:lang w:val="en-US" w:eastAsia="zh-CN"/>
        </w:rPr>
        <w:t>，总容积约7770</w:t>
      </w:r>
      <w:r>
        <w:rPr>
          <w:rFonts w:hint="eastAsia"/>
          <w:color w:val="auto"/>
          <w:sz w:val="24"/>
          <w:szCs w:val="24"/>
          <w:highlight w:val="none"/>
        </w:rPr>
        <w:t xml:space="preserve"> m</w:t>
      </w:r>
      <w:r>
        <w:rPr>
          <w:rFonts w:hint="eastAsia"/>
          <w:color w:val="auto"/>
          <w:sz w:val="24"/>
          <w:szCs w:val="24"/>
          <w:highlight w:val="none"/>
          <w:vertAlign w:val="superscript"/>
        </w:rPr>
        <w:t>3</w:t>
      </w:r>
      <w:r>
        <w:rPr>
          <w:rFonts w:hint="eastAsia" w:ascii="Times New Roman" w:hAnsi="Times New Roman" w:cs="Times New Roman"/>
          <w:color w:val="auto"/>
          <w:sz w:val="24"/>
          <w:szCs w:val="24"/>
          <w:highlight w:val="none"/>
          <w:lang w:val="en-US" w:eastAsia="zh-CN"/>
        </w:rPr>
        <w:t>。</w:t>
      </w:r>
      <w:r>
        <w:rPr>
          <w:rFonts w:hint="eastAsia" w:cs="Times New Roman"/>
          <w:color w:val="auto"/>
          <w:sz w:val="24"/>
          <w:szCs w:val="24"/>
          <w:highlight w:val="none"/>
          <w:lang w:val="en-US" w:eastAsia="zh-CN"/>
        </w:rPr>
        <w:t>事故池池满后由环卫罐车统一清运处理。</w:t>
      </w:r>
    </w:p>
    <w:p>
      <w:pPr>
        <w:pStyle w:val="55"/>
        <w:rPr>
          <w:rFonts w:hint="eastAsia"/>
          <w:color w:val="auto"/>
          <w:sz w:val="21"/>
          <w:szCs w:val="21"/>
          <w:lang w:eastAsia="zh-CN"/>
        </w:rPr>
      </w:pPr>
    </w:p>
    <w:tbl>
      <w:tblPr>
        <w:tblStyle w:val="23"/>
        <w:tblW w:w="496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
        <w:gridCol w:w="4359"/>
        <w:gridCol w:w="57"/>
        <w:gridCol w:w="4361"/>
        <w:gridCol w:w="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32" w:type="pct"/>
          <w:jc w:val="center"/>
        </w:trPr>
        <w:tc>
          <w:tcPr>
            <w:tcW w:w="2483" w:type="pct"/>
            <w:gridSpan w:val="2"/>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仿宋"/>
                <w:color w:val="auto"/>
                <w:vertAlign w:val="baseline"/>
                <w:lang w:eastAsia="zh-CN"/>
              </w:rPr>
            </w:pPr>
            <w:r>
              <w:rPr>
                <w:rFonts w:hint="eastAsia" w:eastAsia="仿宋"/>
                <w:color w:val="auto"/>
                <w:vertAlign w:val="baseline"/>
                <w:lang w:eastAsia="zh-CN"/>
              </w:rPr>
              <w:drawing>
                <wp:inline distT="0" distB="0" distL="114300" distR="114300">
                  <wp:extent cx="2667000" cy="2000250"/>
                  <wp:effectExtent l="0" t="0" r="0" b="11430"/>
                  <wp:docPr id="11" name="图片 11" descr="IMG_9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IMG_9140"/>
                          <pic:cNvPicPr>
                            <a:picLocks noChangeAspect="1"/>
                          </pic:cNvPicPr>
                        </pic:nvPicPr>
                        <pic:blipFill>
                          <a:blip r:embed="rId20"/>
                          <a:stretch>
                            <a:fillRect/>
                          </a:stretch>
                        </pic:blipFill>
                        <pic:spPr>
                          <a:xfrm>
                            <a:off x="0" y="0"/>
                            <a:ext cx="2667000" cy="2000250"/>
                          </a:xfrm>
                          <a:prstGeom prst="rect">
                            <a:avLst/>
                          </a:prstGeom>
                        </pic:spPr>
                      </pic:pic>
                    </a:graphicData>
                  </a:graphic>
                </wp:inline>
              </w:drawing>
            </w:r>
          </w:p>
        </w:tc>
        <w:tc>
          <w:tcPr>
            <w:tcW w:w="2484" w:type="pct"/>
            <w:gridSpan w:val="2"/>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仿宋"/>
                <w:color w:val="auto"/>
                <w:vertAlign w:val="baseline"/>
                <w:lang w:eastAsia="zh-CN"/>
              </w:rPr>
            </w:pPr>
            <w:r>
              <w:rPr>
                <w:rFonts w:hint="eastAsia" w:eastAsia="仿宋"/>
                <w:color w:val="auto"/>
                <w:vertAlign w:val="baseline"/>
                <w:lang w:eastAsia="zh-CN"/>
              </w:rPr>
              <w:drawing>
                <wp:inline distT="0" distB="0" distL="114300" distR="114300">
                  <wp:extent cx="2667000" cy="2000250"/>
                  <wp:effectExtent l="0" t="0" r="0" b="11430"/>
                  <wp:docPr id="1" name="图片 1" descr="IMG_9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9136"/>
                          <pic:cNvPicPr>
                            <a:picLocks noChangeAspect="1"/>
                          </pic:cNvPicPr>
                        </pic:nvPicPr>
                        <pic:blipFill>
                          <a:blip r:embed="rId21"/>
                          <a:stretch>
                            <a:fillRect/>
                          </a:stretch>
                        </pic:blipFill>
                        <pic:spPr>
                          <a:xfrm>
                            <a:off x="0" y="0"/>
                            <a:ext cx="2667000" cy="200025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32" w:type="pct"/>
          <w:jc w:val="center"/>
        </w:trPr>
        <w:tc>
          <w:tcPr>
            <w:tcW w:w="2483" w:type="pct"/>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color w:val="auto"/>
                <w:kern w:val="2"/>
                <w:sz w:val="21"/>
                <w:szCs w:val="21"/>
                <w:vertAlign w:val="baseline"/>
                <w:lang w:val="en-US" w:eastAsia="zh-CN" w:bidi="ar-SA"/>
              </w:rPr>
            </w:pPr>
            <w:r>
              <w:rPr>
                <w:rFonts w:hint="eastAsia"/>
                <w:color w:val="auto"/>
                <w:sz w:val="21"/>
                <w:szCs w:val="21"/>
                <w:vertAlign w:val="baseline"/>
                <w:lang w:eastAsia="zh-CN"/>
              </w:rPr>
              <w:t>桥面径流收集</w:t>
            </w:r>
          </w:p>
        </w:tc>
        <w:tc>
          <w:tcPr>
            <w:tcW w:w="2484" w:type="pct"/>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color w:val="auto"/>
                <w:kern w:val="2"/>
                <w:sz w:val="21"/>
                <w:szCs w:val="21"/>
                <w:vertAlign w:val="baseline"/>
                <w:lang w:val="en-US" w:eastAsia="zh-CN" w:bidi="ar-SA"/>
              </w:rPr>
            </w:pPr>
            <w:r>
              <w:rPr>
                <w:rFonts w:hint="eastAsia"/>
                <w:color w:val="auto"/>
                <w:sz w:val="21"/>
                <w:szCs w:val="21"/>
                <w:vertAlign w:val="baseline"/>
                <w:lang w:eastAsia="zh-CN"/>
              </w:rPr>
              <w:t>事故池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wBefore w:w="32" w:type="pct"/>
          <w:jc w:val="center"/>
        </w:trPr>
        <w:tc>
          <w:tcPr>
            <w:tcW w:w="4967" w:type="pct"/>
            <w:gridSpan w:val="4"/>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color w:val="auto"/>
                <w:sz w:val="21"/>
                <w:szCs w:val="21"/>
                <w:vertAlign w:val="baseline"/>
                <w:lang w:eastAsia="zh-CN"/>
              </w:rPr>
            </w:pPr>
            <w:r>
              <w:rPr>
                <w:rFonts w:hint="eastAsia"/>
                <w:color w:val="auto"/>
                <w:sz w:val="21"/>
                <w:szCs w:val="21"/>
                <w:vertAlign w:val="baseline"/>
                <w:lang w:eastAsia="zh-CN"/>
              </w:rPr>
              <w:t>田王立交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32" w:type="pct"/>
          <w:jc w:val="center"/>
        </w:trPr>
        <w:tc>
          <w:tcPr>
            <w:tcW w:w="2483" w:type="pct"/>
            <w:gridSpan w:val="2"/>
            <w:vAlign w:val="center"/>
          </w:tcPr>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eastAsia" w:eastAsia="仿宋"/>
                <w:color w:val="auto"/>
                <w:sz w:val="21"/>
                <w:szCs w:val="21"/>
                <w:vertAlign w:val="baseline"/>
                <w:lang w:eastAsia="zh-CN"/>
              </w:rPr>
            </w:pPr>
            <w:r>
              <w:rPr>
                <w:rFonts w:hint="eastAsia" w:eastAsia="仿宋"/>
                <w:color w:val="auto"/>
                <w:sz w:val="21"/>
                <w:szCs w:val="21"/>
                <w:vertAlign w:val="baseline"/>
                <w:lang w:eastAsia="zh-CN"/>
              </w:rPr>
              <w:drawing>
                <wp:inline distT="0" distB="0" distL="114300" distR="114300">
                  <wp:extent cx="2662555" cy="1997075"/>
                  <wp:effectExtent l="0" t="0" r="4445" b="14605"/>
                  <wp:docPr id="13" name="图片 13" descr="99af98433d0d06fa156397ed9a46d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99af98433d0d06fa156397ed9a46d41"/>
                          <pic:cNvPicPr>
                            <a:picLocks noChangeAspect="1"/>
                          </pic:cNvPicPr>
                        </pic:nvPicPr>
                        <pic:blipFill>
                          <a:blip r:embed="rId22"/>
                          <a:stretch>
                            <a:fillRect/>
                          </a:stretch>
                        </pic:blipFill>
                        <pic:spPr>
                          <a:xfrm>
                            <a:off x="0" y="0"/>
                            <a:ext cx="2662555" cy="1997075"/>
                          </a:xfrm>
                          <a:prstGeom prst="rect">
                            <a:avLst/>
                          </a:prstGeom>
                        </pic:spPr>
                      </pic:pic>
                    </a:graphicData>
                  </a:graphic>
                </wp:inline>
              </w:drawing>
            </w:r>
          </w:p>
        </w:tc>
        <w:tc>
          <w:tcPr>
            <w:tcW w:w="2484" w:type="pct"/>
            <w:gridSpan w:val="2"/>
          </w:tcPr>
          <w:p>
            <w:pPr>
              <w:keepNext w:val="0"/>
              <w:keepLines w:val="0"/>
              <w:pageBreakBefore w:val="0"/>
              <w:widowControl w:val="0"/>
              <w:kinsoku/>
              <w:wordWrap/>
              <w:overflowPunct/>
              <w:topLinePunct w:val="0"/>
              <w:autoSpaceDE/>
              <w:autoSpaceDN/>
              <w:bidi w:val="0"/>
              <w:adjustRightInd w:val="0"/>
              <w:snapToGrid w:val="0"/>
              <w:ind w:firstLine="0" w:firstLineChars="0"/>
              <w:textAlignment w:val="auto"/>
              <w:rPr>
                <w:rFonts w:hint="eastAsia" w:eastAsia="仿宋"/>
                <w:color w:val="auto"/>
                <w:sz w:val="21"/>
                <w:szCs w:val="21"/>
                <w:vertAlign w:val="baseline"/>
                <w:lang w:eastAsia="zh-CN"/>
              </w:rPr>
            </w:pPr>
            <w:r>
              <w:rPr>
                <w:rFonts w:hint="eastAsia" w:eastAsia="仿宋"/>
                <w:color w:val="auto"/>
                <w:sz w:val="21"/>
                <w:szCs w:val="21"/>
                <w:vertAlign w:val="baseline"/>
                <w:lang w:eastAsia="zh-CN"/>
              </w:rPr>
              <w:drawing>
                <wp:inline distT="0" distB="0" distL="114300" distR="114300">
                  <wp:extent cx="2633345" cy="1976120"/>
                  <wp:effectExtent l="0" t="0" r="3175" b="5080"/>
                  <wp:docPr id="17" name="图片 17" descr="9af83e6cc3829dc0187c387a39ae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9af83e6cc3829dc0187c387a39ae446"/>
                          <pic:cNvPicPr>
                            <a:picLocks noChangeAspect="1"/>
                          </pic:cNvPicPr>
                        </pic:nvPicPr>
                        <pic:blipFill>
                          <a:blip r:embed="rId23"/>
                          <a:stretch>
                            <a:fillRect/>
                          </a:stretch>
                        </pic:blipFill>
                        <pic:spPr>
                          <a:xfrm>
                            <a:off x="0" y="0"/>
                            <a:ext cx="2633345" cy="197612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32" w:type="pct"/>
          <w:jc w:val="center"/>
        </w:trPr>
        <w:tc>
          <w:tcPr>
            <w:tcW w:w="2483" w:type="pct"/>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color w:val="auto"/>
                <w:sz w:val="21"/>
                <w:szCs w:val="21"/>
                <w:vertAlign w:val="baseline"/>
                <w:lang w:eastAsia="zh-CN"/>
              </w:rPr>
            </w:pPr>
            <w:r>
              <w:rPr>
                <w:rFonts w:hint="eastAsia"/>
                <w:color w:val="auto"/>
                <w:sz w:val="21"/>
                <w:szCs w:val="21"/>
                <w:vertAlign w:val="baseline"/>
                <w:lang w:eastAsia="zh-CN"/>
              </w:rPr>
              <w:t>路基排水沟</w:t>
            </w:r>
          </w:p>
        </w:tc>
        <w:tc>
          <w:tcPr>
            <w:tcW w:w="2484" w:type="pct"/>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eastAsia="仿宋"/>
                <w:color w:val="auto"/>
                <w:sz w:val="21"/>
                <w:szCs w:val="21"/>
                <w:vertAlign w:val="baseline"/>
                <w:lang w:eastAsia="zh-CN"/>
              </w:rPr>
            </w:pPr>
            <w:r>
              <w:rPr>
                <w:rFonts w:hint="eastAsia"/>
                <w:color w:val="auto"/>
                <w:sz w:val="21"/>
                <w:szCs w:val="21"/>
                <w:vertAlign w:val="baseline"/>
                <w:lang w:eastAsia="zh-CN"/>
              </w:rPr>
              <w:t>事故池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32" w:type="pct"/>
          <w:jc w:val="center"/>
        </w:trPr>
        <w:tc>
          <w:tcPr>
            <w:tcW w:w="4967" w:type="pct"/>
            <w:gridSpan w:val="4"/>
          </w:tcPr>
          <w:p>
            <w:pPr>
              <w:jc w:val="center"/>
              <w:rPr>
                <w:rFonts w:hint="eastAsia" w:eastAsia="仿宋"/>
                <w:color w:val="auto"/>
                <w:sz w:val="21"/>
                <w:szCs w:val="21"/>
                <w:vertAlign w:val="baseline"/>
                <w:lang w:eastAsia="zh-CN"/>
              </w:rPr>
            </w:pPr>
            <w:r>
              <w:rPr>
                <w:rFonts w:hint="eastAsia"/>
                <w:color w:val="auto"/>
                <w:sz w:val="21"/>
                <w:szCs w:val="21"/>
                <w:vertAlign w:val="baseline"/>
                <w:lang w:eastAsia="zh-CN"/>
              </w:rPr>
              <w:t>秦汉立交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32" w:type="pct"/>
          <w:jc w:val="center"/>
        </w:trPr>
        <w:tc>
          <w:tcPr>
            <w:tcW w:w="2515" w:type="pct"/>
            <w:gridSpan w:val="3"/>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仿宋"/>
                <w:color w:val="auto"/>
                <w:vertAlign w:val="baseline"/>
                <w:lang w:eastAsia="zh-CN"/>
              </w:rPr>
            </w:pPr>
            <w:r>
              <w:rPr>
                <w:rFonts w:hint="eastAsia" w:eastAsia="仿宋"/>
                <w:color w:val="auto"/>
                <w:vertAlign w:val="baseline"/>
                <w:lang w:eastAsia="zh-CN"/>
              </w:rPr>
              <w:drawing>
                <wp:inline distT="0" distB="0" distL="114300" distR="114300">
                  <wp:extent cx="2663190" cy="1997710"/>
                  <wp:effectExtent l="0" t="0" r="3810" b="13970"/>
                  <wp:docPr id="19" name="图片 19" descr="西咸桥面径流排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西咸桥面径流排水"/>
                          <pic:cNvPicPr>
                            <a:picLocks noChangeAspect="1"/>
                          </pic:cNvPicPr>
                        </pic:nvPicPr>
                        <pic:blipFill>
                          <a:blip r:embed="rId24"/>
                          <a:stretch>
                            <a:fillRect/>
                          </a:stretch>
                        </pic:blipFill>
                        <pic:spPr>
                          <a:xfrm>
                            <a:off x="0" y="0"/>
                            <a:ext cx="2663190" cy="1997710"/>
                          </a:xfrm>
                          <a:prstGeom prst="rect">
                            <a:avLst/>
                          </a:prstGeom>
                        </pic:spPr>
                      </pic:pic>
                    </a:graphicData>
                  </a:graphic>
                </wp:inline>
              </w:drawing>
            </w:r>
          </w:p>
        </w:tc>
        <w:tc>
          <w:tcPr>
            <w:tcW w:w="2452" w:type="pct"/>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textAlignment w:val="auto"/>
              <w:rPr>
                <w:rFonts w:hint="eastAsia" w:eastAsia="仿宋"/>
                <w:color w:val="auto"/>
                <w:vertAlign w:val="baseline"/>
                <w:lang w:eastAsia="zh-CN"/>
              </w:rPr>
            </w:pPr>
            <w:r>
              <w:drawing>
                <wp:inline distT="0" distB="0" distL="114300" distR="114300">
                  <wp:extent cx="2680335" cy="2009775"/>
                  <wp:effectExtent l="0" t="0" r="1905" b="1905"/>
                  <wp:docPr id="3" name="图片 3" descr="西咸新区蒸发池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西咸新区蒸发池1"/>
                          <pic:cNvPicPr>
                            <a:picLocks noChangeAspect="1"/>
                          </pic:cNvPicPr>
                        </pic:nvPicPr>
                        <pic:blipFill>
                          <a:blip r:embed="rId25"/>
                          <a:stretch>
                            <a:fillRect/>
                          </a:stretch>
                        </pic:blipFill>
                        <pic:spPr>
                          <a:xfrm>
                            <a:off x="0" y="0"/>
                            <a:ext cx="2680335" cy="2009775"/>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gridAfter w:val="1"/>
          <w:wBefore w:w="32" w:type="pct"/>
          <w:wAfter w:w="32" w:type="pct"/>
          <w:jc w:val="center"/>
        </w:trPr>
        <w:tc>
          <w:tcPr>
            <w:tcW w:w="2483" w:type="pct"/>
            <w:gridSpan w:val="2"/>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color w:val="auto"/>
                <w:kern w:val="2"/>
                <w:sz w:val="21"/>
                <w:szCs w:val="21"/>
                <w:vertAlign w:val="baseline"/>
                <w:lang w:val="en-US" w:eastAsia="zh-CN" w:bidi="ar-SA"/>
              </w:rPr>
            </w:pPr>
            <w:r>
              <w:rPr>
                <w:rFonts w:hint="eastAsia"/>
                <w:color w:val="auto"/>
                <w:sz w:val="21"/>
                <w:szCs w:val="21"/>
                <w:vertAlign w:val="baseline"/>
                <w:lang w:eastAsia="zh-CN"/>
              </w:rPr>
              <w:t>桥面径流收集</w:t>
            </w:r>
          </w:p>
        </w:tc>
        <w:tc>
          <w:tcPr>
            <w:tcW w:w="2452"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color w:val="auto"/>
                <w:kern w:val="2"/>
                <w:sz w:val="21"/>
                <w:szCs w:val="21"/>
                <w:vertAlign w:val="baseline"/>
                <w:lang w:val="en-US" w:eastAsia="zh-CN" w:bidi="ar-SA"/>
              </w:rPr>
            </w:pPr>
            <w:r>
              <w:rPr>
                <w:rFonts w:hint="eastAsia"/>
                <w:color w:val="auto"/>
                <w:sz w:val="21"/>
                <w:szCs w:val="21"/>
                <w:vertAlign w:val="baseline"/>
                <w:lang w:eastAsia="zh-CN"/>
              </w:rPr>
              <w:t>事故池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Before w:val="1"/>
          <w:gridAfter w:val="1"/>
          <w:wBefore w:w="32" w:type="pct"/>
          <w:wAfter w:w="32" w:type="pct"/>
          <w:jc w:val="center"/>
        </w:trPr>
        <w:tc>
          <w:tcPr>
            <w:tcW w:w="4935" w:type="pct"/>
            <w:gridSpan w:val="3"/>
          </w:tcPr>
          <w:p>
            <w:pPr>
              <w:jc w:val="center"/>
              <w:rPr>
                <w:rFonts w:hint="eastAsia" w:eastAsia="仿宋"/>
                <w:color w:val="auto"/>
                <w:sz w:val="21"/>
                <w:szCs w:val="21"/>
                <w:vertAlign w:val="baseline"/>
                <w:lang w:eastAsia="zh-CN"/>
              </w:rPr>
            </w:pPr>
            <w:r>
              <w:rPr>
                <w:rFonts w:hint="eastAsia"/>
                <w:color w:val="auto"/>
                <w:sz w:val="21"/>
                <w:szCs w:val="21"/>
                <w:vertAlign w:val="baseline"/>
                <w:lang w:eastAsia="zh-CN"/>
              </w:rPr>
              <w:t>西咸立交</w:t>
            </w:r>
          </w:p>
        </w:tc>
      </w:tr>
    </w:tbl>
    <w:p>
      <w:pPr>
        <w:pStyle w:val="55"/>
        <w:rPr>
          <w:rFonts w:hint="default" w:eastAsia="仿宋"/>
          <w:color w:val="auto"/>
          <w:sz w:val="21"/>
          <w:szCs w:val="21"/>
          <w:lang w:val="en-US" w:eastAsia="zh-CN"/>
        </w:rPr>
      </w:pPr>
      <w:r>
        <w:rPr>
          <w:rFonts w:hint="eastAsia"/>
          <w:color w:val="auto"/>
          <w:sz w:val="21"/>
          <w:szCs w:val="21"/>
          <w:lang w:eastAsia="zh-CN"/>
        </w:rPr>
        <w:t>图</w:t>
      </w:r>
      <w:r>
        <w:rPr>
          <w:rFonts w:hint="eastAsia"/>
          <w:color w:val="auto"/>
          <w:sz w:val="21"/>
          <w:szCs w:val="21"/>
          <w:lang w:val="en-US" w:eastAsia="zh-CN"/>
        </w:rPr>
        <w:t>3.4-1 径流系统及事故池</w:t>
      </w:r>
    </w:p>
    <w:p>
      <w:pPr>
        <w:ind w:firstLine="560"/>
        <w:rPr>
          <w:color w:val="auto"/>
        </w:rPr>
      </w:pPr>
      <w:r>
        <w:rPr>
          <w:color w:val="auto"/>
        </w:rPr>
        <w:t>（</w:t>
      </w:r>
      <w:r>
        <w:rPr>
          <w:rFonts w:hint="eastAsia"/>
          <w:color w:val="auto"/>
        </w:rPr>
        <w:t>3</w:t>
      </w:r>
      <w:r>
        <w:rPr>
          <w:color w:val="auto"/>
        </w:rPr>
        <w:t>）危险化学品运输车辆必须持证上路，如有危险化学品车辆滞留收费广场、收费车道、高速公路路面、桥梁等地点，及时了解掌握情况，第一时间通知所属路段高速交警前来处置，所属单位做好交通疏导和人员疏散等工作；对行驶在高速公路的危险化学品车辆加强监控，通过巡逻（包括路政巡、养护巡查）动态监控加强管控；对运输危险品的车辆实施安全监控，防止危险品运输车辆超速行驶、超车。对各种未申报又无危险品运输标准的罐车、筒装车进行检查，未按规办理手续的车辆禁止进入高速公路。大雨、大雾、大雪天气和路面严重结冰情况下，禁止运输危险品车辆上路。</w:t>
      </w:r>
    </w:p>
    <w:p>
      <w:pPr>
        <w:pStyle w:val="10"/>
        <w:ind w:firstLine="321"/>
        <w:rPr>
          <w:color w:val="000000" w:themeColor="text1"/>
          <w14:textFill>
            <w14:solidFill>
              <w14:schemeClr w14:val="tx1"/>
            </w14:solidFill>
          </w14:textFill>
        </w:rPr>
      </w:pPr>
      <w:bookmarkStart w:id="96" w:name="_Toc431402294"/>
      <w:bookmarkEnd w:id="96"/>
      <w:bookmarkStart w:id="97" w:name="_Toc47541602"/>
      <w:bookmarkEnd w:id="97"/>
      <w:bookmarkStart w:id="98" w:name="_Toc80973310"/>
      <w:bookmarkStart w:id="99" w:name="_Toc444845467"/>
      <w:bookmarkStart w:id="100" w:name="_Toc69739736"/>
      <w:r>
        <w:rPr>
          <w:color w:val="000000" w:themeColor="text1"/>
          <w14:textFill>
            <w14:solidFill>
              <w14:schemeClr w14:val="tx1"/>
            </w14:solidFill>
          </w14:textFill>
        </w:rPr>
        <w:t>3.5 现有应急物资与装备、救援队伍情况</w:t>
      </w:r>
      <w:bookmarkEnd w:id="98"/>
      <w:bookmarkEnd w:id="99"/>
      <w:bookmarkEnd w:id="100"/>
    </w:p>
    <w:p>
      <w:pPr>
        <w:ind w:firstLine="560"/>
        <w:rPr>
          <w:color w:val="000000" w:themeColor="text1"/>
          <w14:textFill>
            <w14:solidFill>
              <w14:schemeClr w14:val="tx1"/>
            </w14:solidFill>
          </w14:textFill>
        </w:rPr>
      </w:pPr>
      <w:r>
        <w:rPr>
          <w:color w:val="000000" w:themeColor="text1"/>
          <w14:textFill>
            <w14:solidFill>
              <w14:schemeClr w14:val="tx1"/>
            </w14:solidFill>
          </w14:textFill>
        </w:rPr>
        <w:t>本次应急资源调查从</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人、财、物</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三方面进行了调查：管理处已组建了应急救援体系并与公安、消防、环保等应急部门实现应急联动。通过本次调查摸清了周边可依托的互助单位与政府配套的公共应急资源及队伍情况。一旦突发环境事件发生时，能及时有效地利用好应急资源，可以有效地控制突发环境事件的影响扩大。</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此外，为了使突发事件发生时各项应急救援工作有序开展，应急救援经费是必不可少的，为此还制定了专项经费保障措施，故在自有的环境应急物资及可援助的应急资源等基础上，进一步落实好必要的资金等保障措施等，基本能够满足突发环境事件应急需求。</w:t>
      </w:r>
    </w:p>
    <w:p>
      <w:pPr>
        <w:pStyle w:val="11"/>
        <w:ind w:firstLine="562"/>
        <w:rPr>
          <w:rFonts w:eastAsia="仿宋"/>
          <w:color w:val="000000" w:themeColor="text1"/>
          <w14:textFill>
            <w14:solidFill>
              <w14:schemeClr w14:val="tx1"/>
            </w14:solidFill>
          </w14:textFill>
        </w:rPr>
      </w:pPr>
      <w:bookmarkStart w:id="101" w:name="_Toc431402295"/>
      <w:bookmarkEnd w:id="101"/>
      <w:bookmarkStart w:id="102" w:name="_Toc69739737"/>
      <w:r>
        <w:rPr>
          <w:rFonts w:eastAsia="仿宋"/>
          <w:color w:val="000000" w:themeColor="text1"/>
          <w14:textFill>
            <w14:solidFill>
              <w14:schemeClr w14:val="tx1"/>
            </w14:solidFill>
          </w14:textFill>
        </w:rPr>
        <w:t>3.5.1 现有应急物资及装备</w:t>
      </w:r>
      <w:bookmarkEnd w:id="102"/>
    </w:p>
    <w:p>
      <w:pPr>
        <w:ind w:firstLine="560"/>
        <w:rPr>
          <w:color w:val="000000" w:themeColor="text1"/>
          <w14:textFill>
            <w14:solidFill>
              <w14:schemeClr w14:val="tx1"/>
            </w14:solidFill>
          </w14:textFill>
        </w:rPr>
      </w:pPr>
      <w:r>
        <w:rPr>
          <w:color w:val="000000" w:themeColor="text1"/>
          <w14:textFill>
            <w14:solidFill>
              <w14:schemeClr w14:val="tx1"/>
            </w14:solidFill>
          </w14:textFill>
        </w:rPr>
        <w:t>为保障应急需要，本项目在沿线</w:t>
      </w:r>
      <w:r>
        <w:rPr>
          <w:rFonts w:hint="eastAsia"/>
          <w:color w:val="000000" w:themeColor="text1"/>
          <w:lang w:eastAsia="zh-CN"/>
          <w14:textFill>
            <w14:solidFill>
              <w14:schemeClr w14:val="tx1"/>
            </w14:solidFill>
          </w14:textFill>
        </w:rPr>
        <w:t>（</w:t>
      </w:r>
      <w:r>
        <w:rPr>
          <w:rFonts w:hint="eastAsia" w:ascii="Times New Roman" w:hAnsi="Times New Roman" w:eastAsia="仿宋" w:cs="Times New Roman"/>
          <w:color w:val="auto"/>
          <w:sz w:val="24"/>
          <w:szCs w:val="24"/>
          <w:lang w:eastAsia="zh-CN"/>
        </w:rPr>
        <w:t>绕</w:t>
      </w:r>
      <w:r>
        <w:rPr>
          <w:rFonts w:hint="eastAsia" w:cs="Times New Roman"/>
          <w:color w:val="auto"/>
          <w:sz w:val="24"/>
          <w:szCs w:val="24"/>
          <w:lang w:eastAsia="zh-CN"/>
        </w:rPr>
        <w:t>北</w:t>
      </w:r>
      <w:r>
        <w:rPr>
          <w:rFonts w:hint="eastAsia" w:ascii="Times New Roman" w:hAnsi="Times New Roman" w:eastAsia="仿宋" w:cs="Times New Roman"/>
          <w:color w:val="auto"/>
          <w:sz w:val="24"/>
          <w:szCs w:val="24"/>
          <w:lang w:eastAsia="zh-CN"/>
        </w:rPr>
        <w:t>管理所、绕南管理所、汉城管理所、灞桥服务区</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设施设置应急器材，</w:t>
      </w:r>
      <w:r>
        <w:rPr>
          <w:rFonts w:hint="eastAsia"/>
          <w:color w:val="000000" w:themeColor="text1"/>
          <w:lang w:eastAsia="zh-CN"/>
          <w14:textFill>
            <w14:solidFill>
              <w14:schemeClr w14:val="tx1"/>
            </w14:solidFill>
          </w14:textFill>
        </w:rPr>
        <w:t>各点位均</w:t>
      </w:r>
      <w:r>
        <w:rPr>
          <w:color w:val="000000" w:themeColor="text1"/>
          <w:highlight w:val="none"/>
          <w14:textFill>
            <w14:solidFill>
              <w14:schemeClr w14:val="tx1"/>
            </w14:solidFill>
          </w14:textFill>
        </w:rPr>
        <w:t>指定专人管理</w:t>
      </w:r>
      <w:r>
        <w:rPr>
          <w:color w:val="000000" w:themeColor="text1"/>
          <w14:textFill>
            <w14:solidFill>
              <w14:schemeClr w14:val="tx1"/>
            </w14:solidFill>
          </w14:textFill>
        </w:rPr>
        <w:t>，定期检查，确保应急物资种类、数量、性能、存放位置符合应急需要，在需要时可及时获取并有效用。本项目现有应急物资与装备见表3-11。</w:t>
      </w:r>
    </w:p>
    <w:p>
      <w:pPr>
        <w:pStyle w:val="55"/>
        <w:rPr>
          <w:color w:val="000000" w:themeColor="text1"/>
          <w:sz w:val="21"/>
          <w:szCs w:val="21"/>
          <w14:textFill>
            <w14:solidFill>
              <w14:schemeClr w14:val="tx1"/>
            </w14:solidFill>
          </w14:textFill>
        </w:rPr>
      </w:pPr>
      <w:bookmarkStart w:id="103" w:name="_Hlk69242874"/>
      <w:r>
        <w:rPr>
          <w:color w:val="000000" w:themeColor="text1"/>
          <w:sz w:val="21"/>
          <w:szCs w:val="21"/>
          <w14:textFill>
            <w14:solidFill>
              <w14:schemeClr w14:val="tx1"/>
            </w14:solidFill>
          </w14:textFill>
        </w:rPr>
        <w:t>表3-11  应急物资与装备</w:t>
      </w:r>
    </w:p>
    <w:tbl>
      <w:tblPr>
        <w:tblStyle w:val="22"/>
        <w:tblW w:w="5000"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86"/>
        <w:gridCol w:w="2444"/>
        <w:gridCol w:w="1131"/>
        <w:gridCol w:w="1545"/>
        <w:gridCol w:w="2941"/>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blHeader/>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序号</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设备名称</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单位</w:t>
            </w:r>
          </w:p>
        </w:tc>
        <w:tc>
          <w:tcPr>
            <w:tcW w:w="1545"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数量</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备注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1</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雨衣</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件</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120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安全防护</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2</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雨鞋</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双</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32</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安全防护</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3</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雨伞</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把</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安全防护</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4</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手套（帆布）</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双</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200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安全防护</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5</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安全帽</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个</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80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安全防护</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kern w:val="0"/>
                <w:sz w:val="21"/>
                <w:szCs w:val="21"/>
                <w14:textFill>
                  <w14:solidFill>
                    <w14:schemeClr w14:val="tx1"/>
                  </w14:solidFill>
                </w14:textFill>
              </w:rPr>
              <w:t>6</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洋镐</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把</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16</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7</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铁锹</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把</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200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8</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发电机</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台</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4</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应急供电</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9</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抽水泵</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台</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8</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安全防护</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10</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铁丝</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公斤</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11</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防汛水带</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盘</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4</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污染物控制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12</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防汛水带接头</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套</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16</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污染物控制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13</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反光背心</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件</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160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安全防护</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14</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警示标志牌</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套</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8</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预警装置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15</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锥筒</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个</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4000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预警装置</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16</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防水电缆</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4000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17</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融雪剂</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吨</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8</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污染物控制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18</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防滑链</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副</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16</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安全防护</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19</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推雪铲</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把</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200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污染物控制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20</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铁锨</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把</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200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污染物控制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21</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破冰铲</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把</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80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污染物控制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22</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大扫帚</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把</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400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安全防护</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23</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除雪车（装载机）刀刃</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套</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8</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安全防护</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24</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喷火枪</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个</w:t>
            </w:r>
          </w:p>
        </w:tc>
        <w:tc>
          <w:tcPr>
            <w:tcW w:w="1545" w:type="dxa"/>
            <w:vAlign w:val="center"/>
          </w:tcPr>
          <w:p>
            <w:pPr>
              <w:widowControl/>
              <w:snapToGrid w:val="0"/>
              <w:spacing w:line="240" w:lineRule="auto"/>
              <w:ind w:firstLine="0" w:firstLineChars="0"/>
              <w:jc w:val="center"/>
              <w:rPr>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28</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安全防护</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kern w:val="0"/>
                <w:sz w:val="21"/>
                <w:szCs w:val="21"/>
                <w14:textFill>
                  <w14:solidFill>
                    <w14:schemeClr w14:val="tx1"/>
                  </w14:solidFill>
                </w14:textFill>
              </w:rPr>
              <w:t>25</w:t>
            </w:r>
          </w:p>
        </w:tc>
        <w:tc>
          <w:tcPr>
            <w:tcW w:w="2444" w:type="dxa"/>
            <w:vAlign w:val="center"/>
          </w:tcPr>
          <w:p>
            <w:pPr>
              <w:widowControl/>
              <w:snapToGrid w:val="0"/>
              <w:spacing w:line="240" w:lineRule="auto"/>
              <w:ind w:firstLine="0" w:firstLineChars="0"/>
              <w:jc w:val="center"/>
              <w:rPr>
                <w:rFonts w:ascii="Times New Roman" w:hAnsi="Times New Roman" w:eastAsia="仿宋" w:cs="Times New Roman"/>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干粉灭火器</w:t>
            </w:r>
          </w:p>
        </w:tc>
        <w:tc>
          <w:tcPr>
            <w:tcW w:w="1131" w:type="dxa"/>
            <w:vAlign w:val="center"/>
          </w:tcPr>
          <w:p>
            <w:pPr>
              <w:widowControl/>
              <w:snapToGrid w:val="0"/>
              <w:spacing w:line="240" w:lineRule="auto"/>
              <w:ind w:firstLine="0" w:firstLineChars="0"/>
              <w:jc w:val="center"/>
              <w:rPr>
                <w:rFonts w:ascii="Times New Roman" w:hAnsi="Times New Roman" w:eastAsia="仿宋" w:cs="Times New Roman"/>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具</w:t>
            </w:r>
          </w:p>
        </w:tc>
        <w:tc>
          <w:tcPr>
            <w:tcW w:w="1545" w:type="dxa"/>
            <w:vAlign w:val="center"/>
          </w:tcPr>
          <w:p>
            <w:pPr>
              <w:widowControl/>
              <w:snapToGrid w:val="0"/>
              <w:spacing w:line="240" w:lineRule="auto"/>
              <w:ind w:firstLine="0" w:firstLineChars="0"/>
              <w:jc w:val="center"/>
              <w:rPr>
                <w:rFonts w:ascii="Times New Roman" w:hAnsi="Times New Roman" w:eastAsia="仿宋" w:cs="Times New Roman"/>
                <w:color w:val="000000" w:themeColor="text1"/>
                <w:kern w:val="2"/>
                <w:sz w:val="21"/>
                <w:szCs w:val="21"/>
                <w:lang w:val="en-US" w:eastAsia="zh-CN" w:bidi="ar-SA"/>
                <w14:textFill>
                  <w14:solidFill>
                    <w14:schemeClr w14:val="tx1"/>
                  </w14:solidFill>
                </w14:textFill>
              </w:rPr>
            </w:pPr>
            <w:r>
              <w:rPr>
                <w:color w:val="000000" w:themeColor="text1"/>
                <w:sz w:val="21"/>
                <w:szCs w:val="21"/>
                <w14:textFill>
                  <w14:solidFill>
                    <w14:schemeClr w14:val="tx1"/>
                  </w14:solidFill>
                </w14:textFill>
              </w:rPr>
              <w:t>40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安全防护</w:t>
            </w:r>
          </w:p>
        </w:tc>
      </w:tr>
      <w:bookmarkEnd w:id="103"/>
    </w:tbl>
    <w:p>
      <w:pPr>
        <w:ind w:firstLine="560"/>
        <w:rPr>
          <w:color w:val="000000" w:themeColor="text1"/>
          <w:sz w:val="24"/>
          <w:szCs w:val="24"/>
          <w14:textFill>
            <w14:solidFill>
              <w14:schemeClr w14:val="tx1"/>
            </w14:solidFill>
          </w14:textFill>
        </w:rPr>
      </w:pPr>
      <w:bookmarkStart w:id="104" w:name="_Toc431402296"/>
      <w:bookmarkEnd w:id="104"/>
      <w:r>
        <w:rPr>
          <w:rFonts w:hint="eastAsia"/>
          <w:color w:val="000000" w:themeColor="text1"/>
          <w:sz w:val="24"/>
          <w:szCs w:val="24"/>
          <w:lang w:eastAsia="zh-CN"/>
          <w14:textFill>
            <w14:solidFill>
              <w14:schemeClr w14:val="tx1"/>
            </w14:solidFill>
          </w14:textFill>
        </w:rPr>
        <w:t>管理所及收费站</w:t>
      </w:r>
      <w:r>
        <w:rPr>
          <w:color w:val="000000" w:themeColor="text1"/>
          <w:sz w:val="24"/>
          <w:szCs w:val="24"/>
          <w14:textFill>
            <w14:solidFill>
              <w14:schemeClr w14:val="tx1"/>
            </w14:solidFill>
          </w14:textFill>
        </w:rPr>
        <w:t>目前配备的应急物资主要是侧重防洪和消防，物资储备缺少危险品泄漏控制和收集的应急物资。本项目还应配备围油栏、吸油毡或吸油棉、活性炭、防化服等危化品泄漏控制和收集的相关应急物资。</w:t>
      </w:r>
      <w:r>
        <w:rPr>
          <w:rFonts w:hint="eastAsia"/>
          <w:color w:val="000000" w:themeColor="text1"/>
          <w:sz w:val="24"/>
          <w:szCs w:val="24"/>
          <w:lang w:eastAsia="zh-CN"/>
          <w14:textFill>
            <w14:solidFill>
              <w14:schemeClr w14:val="tx1"/>
            </w14:solidFill>
          </w14:textFill>
        </w:rPr>
        <w:t>各管理所</w:t>
      </w:r>
      <w:r>
        <w:rPr>
          <w:color w:val="000000" w:themeColor="text1"/>
          <w:sz w:val="24"/>
          <w:szCs w:val="24"/>
          <w14:textFill>
            <w14:solidFill>
              <w14:schemeClr w14:val="tx1"/>
            </w14:solidFill>
          </w14:textFill>
        </w:rPr>
        <w:t>具体配备建议见表3-12。</w:t>
      </w:r>
    </w:p>
    <w:p>
      <w:pPr>
        <w:pStyle w:val="55"/>
        <w:rPr>
          <w:color w:val="000000" w:themeColor="text1"/>
          <w:sz w:val="21"/>
          <w:szCs w:val="21"/>
          <w14:textFill>
            <w14:solidFill>
              <w14:schemeClr w14:val="tx1"/>
            </w14:solidFill>
          </w14:textFill>
        </w:rPr>
      </w:pPr>
      <w:bookmarkStart w:id="105" w:name="_Hlk47501354"/>
      <w:bookmarkEnd w:id="105"/>
      <w:r>
        <w:rPr>
          <w:color w:val="000000" w:themeColor="text1"/>
          <w:sz w:val="21"/>
          <w:szCs w:val="21"/>
          <w14:textFill>
            <w14:solidFill>
              <w14:schemeClr w14:val="tx1"/>
            </w14:solidFill>
          </w14:textFill>
        </w:rPr>
        <w:t>表3-12  需补充配备应急救援物资一览表</w:t>
      </w:r>
    </w:p>
    <w:tbl>
      <w:tblPr>
        <w:tblStyle w:val="22"/>
        <w:tblW w:w="5000"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86"/>
        <w:gridCol w:w="2444"/>
        <w:gridCol w:w="1131"/>
        <w:gridCol w:w="1545"/>
        <w:gridCol w:w="2941"/>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序号</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设备名称</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单位</w:t>
            </w:r>
          </w:p>
        </w:tc>
        <w:tc>
          <w:tcPr>
            <w:tcW w:w="1545"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数量</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备注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1</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防毒面具</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个</w:t>
            </w:r>
          </w:p>
        </w:tc>
        <w:tc>
          <w:tcPr>
            <w:tcW w:w="1545"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应急时使用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2</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防化服</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套</w:t>
            </w:r>
          </w:p>
        </w:tc>
        <w:tc>
          <w:tcPr>
            <w:tcW w:w="1545"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应急时使用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3</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防化手套</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双</w:t>
            </w:r>
          </w:p>
        </w:tc>
        <w:tc>
          <w:tcPr>
            <w:tcW w:w="1545"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应急时使用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4</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防化靴</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双</w:t>
            </w:r>
          </w:p>
        </w:tc>
        <w:tc>
          <w:tcPr>
            <w:tcW w:w="1545"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应急时使用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5</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石灰</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吨</w:t>
            </w:r>
          </w:p>
        </w:tc>
        <w:tc>
          <w:tcPr>
            <w:tcW w:w="1545"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应急时使用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6</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活性炭</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吨</w:t>
            </w:r>
          </w:p>
        </w:tc>
        <w:tc>
          <w:tcPr>
            <w:tcW w:w="1545"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应急时使用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7</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围油栏</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米</w:t>
            </w:r>
          </w:p>
        </w:tc>
        <w:tc>
          <w:tcPr>
            <w:tcW w:w="1545"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200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应急时使用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8</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水成膜</w:t>
            </w:r>
            <w:r>
              <w:rPr>
                <w:color w:val="000000" w:themeColor="text1"/>
                <w:sz w:val="21"/>
                <w:szCs w:val="21"/>
                <w14:textFill>
                  <w14:solidFill>
                    <w14:schemeClr w14:val="tx1"/>
                  </w14:solidFill>
                </w14:textFill>
              </w:rPr>
              <w:t>灭火器</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具</w:t>
            </w:r>
          </w:p>
        </w:tc>
        <w:tc>
          <w:tcPr>
            <w:tcW w:w="1545"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10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应急时使用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9</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吸油毡</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张</w:t>
            </w:r>
          </w:p>
        </w:tc>
        <w:tc>
          <w:tcPr>
            <w:tcW w:w="1545"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应急时使用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kern w:val="0"/>
                <w:sz w:val="21"/>
                <w:szCs w:val="21"/>
                <w14:textFill>
                  <w14:solidFill>
                    <w14:schemeClr w14:val="tx1"/>
                  </w14:solidFill>
                </w14:textFill>
              </w:rPr>
            </w:pPr>
            <w:r>
              <w:rPr>
                <w:color w:val="000000" w:themeColor="text1"/>
                <w:kern w:val="0"/>
                <w:sz w:val="21"/>
                <w:szCs w:val="21"/>
                <w14:textFill>
                  <w14:solidFill>
                    <w14:schemeClr w14:val="tx1"/>
                  </w14:solidFill>
                </w14:textFill>
              </w:rPr>
              <w:t>10</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吸油棉</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张</w:t>
            </w:r>
          </w:p>
        </w:tc>
        <w:tc>
          <w:tcPr>
            <w:tcW w:w="1545"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5</w:t>
            </w:r>
            <w:r>
              <w:rPr>
                <w:color w:val="000000" w:themeColor="text1"/>
                <w:sz w:val="21"/>
                <w:szCs w:val="21"/>
                <w14:textFill>
                  <w14:solidFill>
                    <w14:schemeClr w14:val="tx1"/>
                  </w14:solidFill>
                </w14:textFill>
              </w:rPr>
              <w:t>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应急时使用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86" w:type="dxa"/>
            <w:vAlign w:val="center"/>
          </w:tcPr>
          <w:p>
            <w:pPr>
              <w:widowControl/>
              <w:snapToGrid w:val="0"/>
              <w:spacing w:line="240" w:lineRule="auto"/>
              <w:ind w:firstLine="0" w:firstLineChars="0"/>
              <w:jc w:val="center"/>
              <w:rPr>
                <w:color w:val="000000" w:themeColor="text1"/>
                <w:kern w:val="0"/>
                <w:sz w:val="21"/>
                <w:szCs w:val="21"/>
                <w14:textFill>
                  <w14:solidFill>
                    <w14:schemeClr w14:val="tx1"/>
                  </w14:solidFill>
                </w14:textFill>
              </w:rPr>
            </w:pPr>
            <w:r>
              <w:rPr>
                <w:rFonts w:hint="eastAsia"/>
                <w:color w:val="000000" w:themeColor="text1"/>
                <w:kern w:val="0"/>
                <w:sz w:val="21"/>
                <w:szCs w:val="21"/>
                <w14:textFill>
                  <w14:solidFill>
                    <w14:schemeClr w14:val="tx1"/>
                  </w14:solidFill>
                </w14:textFill>
              </w:rPr>
              <w:t>1</w:t>
            </w:r>
            <w:r>
              <w:rPr>
                <w:color w:val="000000" w:themeColor="text1"/>
                <w:kern w:val="0"/>
                <w:sz w:val="21"/>
                <w:szCs w:val="21"/>
                <w14:textFill>
                  <w14:solidFill>
                    <w14:schemeClr w14:val="tx1"/>
                  </w14:solidFill>
                </w14:textFill>
              </w:rPr>
              <w:t>1</w:t>
            </w:r>
          </w:p>
        </w:tc>
        <w:tc>
          <w:tcPr>
            <w:tcW w:w="2444"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生石灰</w:t>
            </w:r>
          </w:p>
        </w:tc>
        <w:tc>
          <w:tcPr>
            <w:tcW w:w="113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吨</w:t>
            </w:r>
          </w:p>
        </w:tc>
        <w:tc>
          <w:tcPr>
            <w:tcW w:w="1545"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w:t>
            </w:r>
          </w:p>
        </w:tc>
        <w:tc>
          <w:tcPr>
            <w:tcW w:w="2941" w:type="dxa"/>
            <w:vAlign w:val="center"/>
          </w:tcPr>
          <w:p>
            <w:pPr>
              <w:widowControl/>
              <w:snapToGrid w:val="0"/>
              <w:spacing w:line="240" w:lineRule="auto"/>
              <w:ind w:firstLine="0" w:firstLineChars="0"/>
              <w:jc w:val="cente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应急时使用</w:t>
            </w:r>
          </w:p>
        </w:tc>
      </w:tr>
    </w:tbl>
    <w:p>
      <w:pPr>
        <w:pStyle w:val="11"/>
        <w:ind w:firstLine="562"/>
        <w:rPr>
          <w:rFonts w:eastAsia="仿宋"/>
          <w:color w:val="000000" w:themeColor="text1"/>
          <w14:textFill>
            <w14:solidFill>
              <w14:schemeClr w14:val="tx1"/>
            </w14:solidFill>
          </w14:textFill>
        </w:rPr>
      </w:pPr>
      <w:bookmarkStart w:id="106" w:name="_Toc69739738"/>
      <w:r>
        <w:rPr>
          <w:rFonts w:eastAsia="仿宋"/>
          <w:color w:val="000000" w:themeColor="text1"/>
          <w14:textFill>
            <w14:solidFill>
              <w14:schemeClr w14:val="tx1"/>
            </w14:solidFill>
          </w14:textFill>
        </w:rPr>
        <w:t>3.5.2 内部救援队伍</w:t>
      </w:r>
      <w:bookmarkEnd w:id="106"/>
    </w:p>
    <w:p>
      <w:pPr>
        <w:ind w:firstLine="562"/>
        <w:rPr>
          <w:b/>
          <w:bCs/>
          <w:color w:val="000000" w:themeColor="text1"/>
          <w14:textFill>
            <w14:solidFill>
              <w14:schemeClr w14:val="tx1"/>
            </w14:solidFill>
          </w14:textFill>
        </w:rPr>
      </w:pPr>
      <w:r>
        <w:rPr>
          <w:b/>
          <w:bCs/>
          <w:color w:val="000000" w:themeColor="text1"/>
          <w14:textFill>
            <w14:solidFill>
              <w14:schemeClr w14:val="tx1"/>
            </w14:solidFill>
          </w14:textFill>
        </w:rPr>
        <w:t>一、应急救援组织</w:t>
      </w:r>
    </w:p>
    <w:p>
      <w:pPr>
        <w:ind w:firstLine="560"/>
        <w:rPr>
          <w:color w:val="000000" w:themeColor="text1"/>
          <w14:textFill>
            <w14:solidFill>
              <w14:schemeClr w14:val="tx1"/>
            </w14:solidFill>
          </w14:textFill>
        </w:rPr>
      </w:pPr>
      <w:r>
        <w:rPr>
          <w:rFonts w:hint="eastAsia"/>
          <w:color w:val="000000" w:themeColor="text1"/>
          <w:lang w:eastAsia="zh-CN"/>
          <w14:textFill>
            <w14:solidFill>
              <w14:schemeClr w14:val="tx1"/>
            </w14:solidFill>
          </w14:textFill>
        </w:rPr>
        <w:t>陕西交控集团绕城高速公路扩能工程管理处</w:t>
      </w:r>
      <w:r>
        <w:rPr>
          <w:color w:val="000000" w:themeColor="text1"/>
          <w14:textFill>
            <w14:solidFill>
              <w14:schemeClr w14:val="tx1"/>
            </w14:solidFill>
          </w14:textFill>
        </w:rPr>
        <w:t>突发环境事件应急指挥部（以下简称</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指挥部</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），全面负责高速路段突发环境事件预防和应急各项工作。</w:t>
      </w:r>
    </w:p>
    <w:p>
      <w:pPr>
        <w:ind w:firstLine="560"/>
        <w:rPr>
          <w:color w:val="000000" w:themeColor="text1"/>
          <w:highlight w:val="yellow"/>
          <w14:textFill>
            <w14:solidFill>
              <w14:schemeClr w14:val="tx1"/>
            </w14:solidFill>
          </w14:textFill>
        </w:rPr>
      </w:pPr>
      <w:r>
        <w:rPr>
          <w:color w:val="000000" w:themeColor="text1"/>
          <w14:textFill>
            <w14:solidFill>
              <w14:schemeClr w14:val="tx1"/>
            </w14:solidFill>
          </w14:textFill>
        </w:rPr>
        <w:t>指挥部办公室依托</w:t>
      </w:r>
      <w:r>
        <w:rPr>
          <w:rFonts w:hint="eastAsia"/>
          <w:color w:val="000000" w:themeColor="text1"/>
          <w:lang w:eastAsia="zh-CN"/>
          <w14:textFill>
            <w14:solidFill>
              <w14:schemeClr w14:val="tx1"/>
            </w14:solidFill>
          </w14:textFill>
        </w:rPr>
        <w:t>陕西交控集团绕城高速公路扩能工程管理处</w:t>
      </w:r>
      <w:r>
        <w:rPr>
          <w:color w:val="000000" w:themeColor="text1"/>
          <w14:textFill>
            <w14:solidFill>
              <w14:schemeClr w14:val="tx1"/>
            </w14:solidFill>
          </w14:textFill>
        </w:rPr>
        <w:t>指挥部。指挥部下设应急办公室、应急警戒组、交通疏导组、通讯联络组、</w:t>
      </w:r>
      <w:r>
        <w:rPr>
          <w:rFonts w:hint="eastAsia"/>
          <w:color w:val="000000" w:themeColor="text1"/>
          <w:lang w:eastAsia="zh-CN"/>
          <w14:textFill>
            <w14:solidFill>
              <w14:schemeClr w14:val="tx1"/>
            </w14:solidFill>
          </w14:textFill>
        </w:rPr>
        <w:t>现场处置组、</w:t>
      </w:r>
      <w:r>
        <w:rPr>
          <w:color w:val="000000" w:themeColor="text1"/>
          <w14:textFill>
            <w14:solidFill>
              <w14:schemeClr w14:val="tx1"/>
            </w14:solidFill>
          </w14:textFill>
        </w:rPr>
        <w:t>应急消防组、后勤保障组。</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应急救援人员及联系方式详见下表3-13。</w:t>
      </w:r>
    </w:p>
    <w:p>
      <w:pPr>
        <w:pStyle w:val="55"/>
        <w:rPr>
          <w:color w:val="000000" w:themeColor="text1"/>
          <w:sz w:val="21"/>
          <w:szCs w:val="21"/>
          <w14:textFill>
            <w14:solidFill>
              <w14:schemeClr w14:val="tx1"/>
            </w14:solidFill>
          </w14:textFill>
        </w:rPr>
      </w:pPr>
      <w:bookmarkStart w:id="107" w:name="_Hlk69242963"/>
      <w:r>
        <w:rPr>
          <w:color w:val="000000" w:themeColor="text1"/>
          <w:sz w:val="21"/>
          <w:szCs w:val="21"/>
          <w14:textFill>
            <w14:solidFill>
              <w14:schemeClr w14:val="tx1"/>
            </w14:solidFill>
          </w14:textFill>
        </w:rPr>
        <w:t>表3-13  应急人员一览表</w:t>
      </w:r>
    </w:p>
    <w:tbl>
      <w:tblPr>
        <w:tblStyle w:val="2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735"/>
        <w:gridCol w:w="1459"/>
        <w:gridCol w:w="1310"/>
        <w:gridCol w:w="2689"/>
        <w:gridCol w:w="175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969"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应急救援机构</w:t>
            </w: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应急职责</w:t>
            </w:r>
          </w:p>
        </w:tc>
        <w:tc>
          <w:tcPr>
            <w:tcW w:w="732"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姓名</w:t>
            </w:r>
          </w:p>
        </w:tc>
        <w:tc>
          <w:tcPr>
            <w:tcW w:w="1502"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职务</w:t>
            </w:r>
          </w:p>
        </w:tc>
        <w:tc>
          <w:tcPr>
            <w:tcW w:w="980"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联系方式</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59" w:hRule="atLeast"/>
          <w:jc w:val="center"/>
        </w:trPr>
        <w:tc>
          <w:tcPr>
            <w:tcW w:w="969"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指挥部</w:t>
            </w: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总指挥长</w:t>
            </w:r>
          </w:p>
        </w:tc>
        <w:tc>
          <w:tcPr>
            <w:tcW w:w="732" w:type="pct"/>
            <w:vAlign w:val="center"/>
          </w:tcPr>
          <w:p>
            <w:pPr>
              <w:pStyle w:val="58"/>
              <w:rPr>
                <w:color w:val="000000" w:themeColor="text1"/>
                <w:sz w:val="21"/>
                <w:szCs w:val="21"/>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强焯</w:t>
            </w:r>
          </w:p>
        </w:tc>
        <w:tc>
          <w:tcPr>
            <w:tcW w:w="1502" w:type="pct"/>
            <w:vAlign w:val="center"/>
          </w:tcPr>
          <w:p>
            <w:pPr>
              <w:pStyle w:val="58"/>
              <w:rPr>
                <w:color w:val="000000" w:themeColor="text1"/>
                <w:sz w:val="21"/>
                <w:szCs w:val="21"/>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副处长</w:t>
            </w:r>
          </w:p>
        </w:tc>
        <w:tc>
          <w:tcPr>
            <w:tcW w:w="980" w:type="pct"/>
            <w:vAlign w:val="center"/>
          </w:tcPr>
          <w:p>
            <w:pPr>
              <w:pStyle w:val="58"/>
              <w:rPr>
                <w:color w:val="000000" w:themeColor="text1"/>
                <w:sz w:val="21"/>
                <w:szCs w:val="21"/>
                <w14:textFill>
                  <w14:solidFill>
                    <w14:schemeClr w14:val="tx1"/>
                  </w14:solidFill>
                </w14:textFill>
              </w:rPr>
            </w:pPr>
            <w:r>
              <w:rPr>
                <w:rFonts w:hint="eastAsia" w:ascii="Times New Roman" w:hAnsi="Times New Roman" w:cs="Times New Roman"/>
                <w:color w:val="000000" w:themeColor="text1"/>
                <w:sz w:val="21"/>
                <w:szCs w:val="21"/>
                <w:lang w:val="en-US" w:eastAsia="zh-CN"/>
                <w14:textFill>
                  <w14:solidFill>
                    <w14:schemeClr w14:val="tx1"/>
                  </w14:solidFill>
                </w14:textFill>
              </w:rPr>
              <w:t>15991458616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97" w:hRule="atLeast"/>
          <w:jc w:val="center"/>
        </w:trPr>
        <w:tc>
          <w:tcPr>
            <w:tcW w:w="969" w:type="pct"/>
            <w:vMerge w:val="restar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应急办公室</w:t>
            </w: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主任</w:t>
            </w:r>
          </w:p>
        </w:tc>
        <w:tc>
          <w:tcPr>
            <w:tcW w:w="73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席玉峰</w:t>
            </w:r>
          </w:p>
        </w:tc>
        <w:tc>
          <w:tcPr>
            <w:tcW w:w="150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工程科科长</w:t>
            </w:r>
          </w:p>
        </w:tc>
        <w:tc>
          <w:tcPr>
            <w:tcW w:w="980"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13572181011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7" w:hRule="atLeast"/>
          <w:jc w:val="center"/>
        </w:trPr>
        <w:tc>
          <w:tcPr>
            <w:tcW w:w="969" w:type="pct"/>
            <w:vMerge w:val="continue"/>
            <w:vAlign w:val="center"/>
          </w:tcPr>
          <w:p>
            <w:pPr>
              <w:pStyle w:val="58"/>
              <w:rPr>
                <w:color w:val="000000" w:themeColor="text1"/>
                <w:sz w:val="21"/>
                <w:szCs w:val="21"/>
                <w14:textFill>
                  <w14:solidFill>
                    <w14:schemeClr w14:val="tx1"/>
                  </w14:solidFill>
                </w14:textFill>
              </w:rPr>
            </w:pP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成员</w:t>
            </w:r>
          </w:p>
        </w:tc>
        <w:tc>
          <w:tcPr>
            <w:tcW w:w="73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梁强强</w:t>
            </w:r>
          </w:p>
        </w:tc>
        <w:tc>
          <w:tcPr>
            <w:tcW w:w="150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安全工程师</w:t>
            </w:r>
          </w:p>
        </w:tc>
        <w:tc>
          <w:tcPr>
            <w:tcW w:w="980"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17792378673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50" w:hRule="atLeast"/>
          <w:jc w:val="center"/>
        </w:trPr>
        <w:tc>
          <w:tcPr>
            <w:tcW w:w="969" w:type="pct"/>
            <w:vMerge w:val="restar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应急警戒组</w:t>
            </w: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组长</w:t>
            </w:r>
          </w:p>
        </w:tc>
        <w:tc>
          <w:tcPr>
            <w:tcW w:w="73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梁乐</w:t>
            </w:r>
          </w:p>
        </w:tc>
        <w:tc>
          <w:tcPr>
            <w:tcW w:w="150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工程科副科长</w:t>
            </w:r>
          </w:p>
        </w:tc>
        <w:tc>
          <w:tcPr>
            <w:tcW w:w="980"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13991831005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11" w:hRule="atLeast"/>
          <w:jc w:val="center"/>
        </w:trPr>
        <w:tc>
          <w:tcPr>
            <w:tcW w:w="969" w:type="pct"/>
            <w:vMerge w:val="continue"/>
            <w:vAlign w:val="center"/>
          </w:tcPr>
          <w:p>
            <w:pPr>
              <w:pStyle w:val="58"/>
              <w:rPr>
                <w:color w:val="000000" w:themeColor="text1"/>
                <w:sz w:val="21"/>
                <w:szCs w:val="21"/>
                <w14:textFill>
                  <w14:solidFill>
                    <w14:schemeClr w14:val="tx1"/>
                  </w14:solidFill>
                </w14:textFill>
              </w:rPr>
            </w:pP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成员</w:t>
            </w:r>
          </w:p>
        </w:tc>
        <w:tc>
          <w:tcPr>
            <w:tcW w:w="73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王军强</w:t>
            </w:r>
          </w:p>
        </w:tc>
        <w:tc>
          <w:tcPr>
            <w:tcW w:w="150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高级工程师</w:t>
            </w:r>
          </w:p>
        </w:tc>
        <w:tc>
          <w:tcPr>
            <w:tcW w:w="980"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color w:val="000000" w:themeColor="text1"/>
                <w:sz w:val="21"/>
                <w:szCs w:val="21"/>
                <w:highlight w:val="none"/>
                <w:lang w:val="en-US" w:eastAsia="zh-CN"/>
                <w14:textFill>
                  <w14:solidFill>
                    <w14:schemeClr w14:val="tx1"/>
                  </w14:solidFill>
                </w14:textFill>
              </w:rPr>
              <w:t>18009293929</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73" w:hRule="atLeast"/>
          <w:jc w:val="center"/>
        </w:trPr>
        <w:tc>
          <w:tcPr>
            <w:tcW w:w="969" w:type="pct"/>
            <w:vMerge w:val="restar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交通疏导组</w:t>
            </w: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组长</w:t>
            </w:r>
          </w:p>
        </w:tc>
        <w:tc>
          <w:tcPr>
            <w:tcW w:w="732" w:type="pct"/>
            <w:vAlign w:val="center"/>
          </w:tcPr>
          <w:p>
            <w:pPr>
              <w:widowControl/>
              <w:spacing w:line="240" w:lineRule="exact"/>
              <w:ind w:left="0" w:leftChars="0" w:firstLine="0" w:firstLineChars="0"/>
              <w:jc w:val="center"/>
              <w:textAlignment w:val="center"/>
              <w:rPr>
                <w:color w:val="000000" w:themeColor="text1"/>
                <w:sz w:val="21"/>
                <w:szCs w:val="21"/>
                <w:highlight w:val="none"/>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阴立强</w:t>
            </w:r>
          </w:p>
        </w:tc>
        <w:tc>
          <w:tcPr>
            <w:tcW w:w="1502" w:type="pct"/>
            <w:vAlign w:val="center"/>
          </w:tcPr>
          <w:p>
            <w:pPr>
              <w:widowControl/>
              <w:spacing w:line="240" w:lineRule="exact"/>
              <w:ind w:left="0" w:leftChars="0" w:firstLine="0" w:firstLineChars="0"/>
              <w:jc w:val="center"/>
              <w:textAlignment w:val="center"/>
              <w:rPr>
                <w:color w:val="000000" w:themeColor="text1"/>
                <w:sz w:val="21"/>
                <w:szCs w:val="21"/>
                <w:highlight w:val="none"/>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项目</w:t>
            </w: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经理</w:t>
            </w:r>
          </w:p>
        </w:tc>
        <w:tc>
          <w:tcPr>
            <w:tcW w:w="980"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15809197799</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969" w:type="pct"/>
            <w:vMerge w:val="continue"/>
            <w:vAlign w:val="center"/>
          </w:tcPr>
          <w:p>
            <w:pPr>
              <w:pStyle w:val="58"/>
              <w:rPr>
                <w:color w:val="000000" w:themeColor="text1"/>
                <w:sz w:val="21"/>
                <w:szCs w:val="21"/>
                <w14:textFill>
                  <w14:solidFill>
                    <w14:schemeClr w14:val="tx1"/>
                  </w14:solidFill>
                </w14:textFill>
              </w:rPr>
            </w:pP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成员</w:t>
            </w:r>
          </w:p>
        </w:tc>
        <w:tc>
          <w:tcPr>
            <w:tcW w:w="73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巴君恒</w:t>
            </w:r>
          </w:p>
        </w:tc>
        <w:tc>
          <w:tcPr>
            <w:tcW w:w="150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技术员</w:t>
            </w:r>
          </w:p>
        </w:tc>
        <w:tc>
          <w:tcPr>
            <w:tcW w:w="980"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13319275937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7" w:hRule="atLeast"/>
          <w:jc w:val="center"/>
        </w:trPr>
        <w:tc>
          <w:tcPr>
            <w:tcW w:w="969" w:type="pct"/>
            <w:vMerge w:val="restar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通讯联络组</w:t>
            </w: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组长</w:t>
            </w:r>
          </w:p>
        </w:tc>
        <w:tc>
          <w:tcPr>
            <w:tcW w:w="73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王瑛</w:t>
            </w:r>
          </w:p>
        </w:tc>
        <w:tc>
          <w:tcPr>
            <w:tcW w:w="150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办公室负责人</w:t>
            </w:r>
          </w:p>
        </w:tc>
        <w:tc>
          <w:tcPr>
            <w:tcW w:w="980"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13891981015</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1" w:hRule="atLeast"/>
          <w:jc w:val="center"/>
        </w:trPr>
        <w:tc>
          <w:tcPr>
            <w:tcW w:w="969" w:type="pct"/>
            <w:vMerge w:val="continue"/>
            <w:vAlign w:val="center"/>
          </w:tcPr>
          <w:p>
            <w:pPr>
              <w:pStyle w:val="58"/>
              <w:rPr>
                <w:color w:val="000000" w:themeColor="text1"/>
                <w:sz w:val="21"/>
                <w:szCs w:val="21"/>
                <w14:textFill>
                  <w14:solidFill>
                    <w14:schemeClr w14:val="tx1"/>
                  </w14:solidFill>
                </w14:textFill>
              </w:rPr>
            </w:pP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成员</w:t>
            </w:r>
          </w:p>
        </w:tc>
        <w:tc>
          <w:tcPr>
            <w:tcW w:w="73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王成</w:t>
            </w:r>
          </w:p>
        </w:tc>
        <w:tc>
          <w:tcPr>
            <w:tcW w:w="150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环境保障工程师</w:t>
            </w:r>
          </w:p>
        </w:tc>
        <w:tc>
          <w:tcPr>
            <w:tcW w:w="980"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15319437077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1" w:hRule="atLeast"/>
          <w:jc w:val="center"/>
        </w:trPr>
        <w:tc>
          <w:tcPr>
            <w:tcW w:w="969" w:type="pct"/>
            <w:vMerge w:val="restart"/>
            <w:vAlign w:val="center"/>
          </w:tcPr>
          <w:p>
            <w:pPr>
              <w:pStyle w:val="58"/>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现场处置组</w:t>
            </w:r>
          </w:p>
        </w:tc>
        <w:tc>
          <w:tcPr>
            <w:tcW w:w="815" w:type="pct"/>
            <w:vAlign w:val="center"/>
          </w:tcPr>
          <w:p>
            <w:pPr>
              <w:pStyle w:val="58"/>
              <w:ind w:firstLine="0" w:firstLineChars="0"/>
              <w:rPr>
                <w:rFonts w:hint="eastAsia" w:ascii="Times New Roman" w:hAnsi="Times New Roman" w:eastAsia="仿宋" w:cstheme="minorBidi"/>
                <w:b w:val="0"/>
                <w:color w:val="000000" w:themeColor="text1"/>
                <w:kern w:val="2"/>
                <w:sz w:val="21"/>
                <w:szCs w:val="21"/>
                <w:lang w:val="en-US" w:eastAsia="zh-CN" w:bidi="ar-SA"/>
                <w14:textFill>
                  <w14:solidFill>
                    <w14:schemeClr w14:val="tx1"/>
                  </w14:solidFill>
                </w14:textFill>
              </w:rPr>
            </w:pPr>
            <w:r>
              <w:rPr>
                <w:rFonts w:hint="eastAsia"/>
                <w:color w:val="000000" w:themeColor="text1"/>
                <w:sz w:val="21"/>
                <w:szCs w:val="21"/>
                <w:lang w:eastAsia="zh-CN"/>
                <w14:textFill>
                  <w14:solidFill>
                    <w14:schemeClr w14:val="tx1"/>
                  </w14:solidFill>
                </w14:textFill>
              </w:rPr>
              <w:t>组长</w:t>
            </w:r>
          </w:p>
        </w:tc>
        <w:tc>
          <w:tcPr>
            <w:tcW w:w="732" w:type="pct"/>
            <w:vAlign w:val="center"/>
          </w:tcPr>
          <w:p>
            <w:pPr>
              <w:pStyle w:val="58"/>
              <w:ind w:firstLine="0" w:firstLineChars="0"/>
              <w:jc w:val="center"/>
              <w:rPr>
                <w:rFonts w:hint="eastAsia" w:ascii="Times New Roman" w:hAnsi="Times New Roman" w:eastAsia="仿宋" w:cstheme="minorBidi"/>
                <w:b w:val="0"/>
                <w:color w:val="000000" w:themeColor="text1"/>
                <w:kern w:val="2"/>
                <w:sz w:val="21"/>
                <w:szCs w:val="21"/>
                <w:highlight w:val="none"/>
                <w:lang w:val="en-US" w:eastAsia="zh-CN" w:bidi="ar-SA"/>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刘宏伟</w:t>
            </w:r>
          </w:p>
        </w:tc>
        <w:tc>
          <w:tcPr>
            <w:tcW w:w="1502" w:type="pct"/>
            <w:vAlign w:val="center"/>
          </w:tcPr>
          <w:p>
            <w:pPr>
              <w:pStyle w:val="58"/>
              <w:ind w:firstLine="0" w:firstLineChars="0"/>
              <w:jc w:val="center"/>
              <w:rPr>
                <w:rFonts w:hint="eastAsia" w:ascii="Times New Roman" w:hAnsi="Times New Roman" w:eastAsia="仿宋" w:cstheme="minorBidi"/>
                <w:b w:val="0"/>
                <w:color w:val="000000" w:themeColor="text1"/>
                <w:kern w:val="2"/>
                <w:sz w:val="21"/>
                <w:szCs w:val="21"/>
                <w:highlight w:val="none"/>
                <w:lang w:val="en-US" w:eastAsia="zh-CN" w:bidi="ar-SA"/>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项目总工</w:t>
            </w:r>
          </w:p>
        </w:tc>
        <w:tc>
          <w:tcPr>
            <w:tcW w:w="980" w:type="pct"/>
            <w:vAlign w:val="center"/>
          </w:tcPr>
          <w:p>
            <w:pPr>
              <w:pStyle w:val="58"/>
              <w:ind w:firstLine="0" w:firstLineChars="0"/>
              <w:rPr>
                <w:rFonts w:hint="eastAsia" w:ascii="Times New Roman" w:hAnsi="Times New Roman" w:eastAsia="仿宋" w:cstheme="minorBidi"/>
                <w:b w:val="0"/>
                <w:color w:val="000000" w:themeColor="text1"/>
                <w:kern w:val="2"/>
                <w:sz w:val="21"/>
                <w:szCs w:val="21"/>
                <w:highlight w:val="none"/>
                <w:lang w:val="en-US" w:eastAsia="zh-CN" w:bidi="ar-SA"/>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13474552022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01" w:hRule="atLeast"/>
          <w:jc w:val="center"/>
        </w:trPr>
        <w:tc>
          <w:tcPr>
            <w:tcW w:w="969" w:type="pct"/>
            <w:vMerge w:val="continue"/>
            <w:vAlign w:val="center"/>
          </w:tcPr>
          <w:p>
            <w:pPr>
              <w:pStyle w:val="58"/>
              <w:rPr>
                <w:rFonts w:hint="eastAsia"/>
                <w:color w:val="000000" w:themeColor="text1"/>
                <w:sz w:val="21"/>
                <w:szCs w:val="21"/>
                <w:lang w:eastAsia="zh-CN"/>
                <w14:textFill>
                  <w14:solidFill>
                    <w14:schemeClr w14:val="tx1"/>
                  </w14:solidFill>
                </w14:textFill>
              </w:rPr>
            </w:pPr>
          </w:p>
        </w:tc>
        <w:tc>
          <w:tcPr>
            <w:tcW w:w="815" w:type="pct"/>
            <w:vAlign w:val="center"/>
          </w:tcPr>
          <w:p>
            <w:pPr>
              <w:pStyle w:val="58"/>
              <w:ind w:firstLine="0" w:firstLineChars="0"/>
              <w:rPr>
                <w:rFonts w:hint="eastAsia" w:eastAsia="仿宋"/>
                <w:color w:val="000000" w:themeColor="text1"/>
                <w:sz w:val="21"/>
                <w:szCs w:val="21"/>
                <w:lang w:eastAsia="zh-CN"/>
                <w14:textFill>
                  <w14:solidFill>
                    <w14:schemeClr w14:val="tx1"/>
                  </w14:solidFill>
                </w14:textFill>
              </w:rPr>
            </w:pPr>
            <w:r>
              <w:rPr>
                <w:rFonts w:hint="eastAsia"/>
                <w:color w:val="000000" w:themeColor="text1"/>
                <w:sz w:val="21"/>
                <w:szCs w:val="21"/>
                <w:lang w:eastAsia="zh-CN"/>
                <w14:textFill>
                  <w14:solidFill>
                    <w14:schemeClr w14:val="tx1"/>
                  </w14:solidFill>
                </w14:textFill>
              </w:rPr>
              <w:t>成员</w:t>
            </w:r>
          </w:p>
        </w:tc>
        <w:tc>
          <w:tcPr>
            <w:tcW w:w="732" w:type="pct"/>
            <w:vAlign w:val="center"/>
          </w:tcPr>
          <w:p>
            <w:pPr>
              <w:pStyle w:val="58"/>
              <w:ind w:firstLine="0" w:firstLineChars="0"/>
              <w:jc w:val="cente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雷甲</w:t>
            </w:r>
          </w:p>
        </w:tc>
        <w:tc>
          <w:tcPr>
            <w:tcW w:w="1502" w:type="pct"/>
            <w:vAlign w:val="center"/>
          </w:tcPr>
          <w:p>
            <w:pPr>
              <w:pStyle w:val="58"/>
              <w:ind w:firstLine="0" w:firstLineChars="0"/>
              <w:jc w:val="cente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技术员</w:t>
            </w:r>
          </w:p>
        </w:tc>
        <w:tc>
          <w:tcPr>
            <w:tcW w:w="980" w:type="pct"/>
            <w:vAlign w:val="center"/>
          </w:tcPr>
          <w:p>
            <w:pPr>
              <w:pStyle w:val="58"/>
              <w:ind w:firstLine="0" w:firstLineChars="0"/>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18602935896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63" w:hRule="atLeast"/>
          <w:jc w:val="center"/>
        </w:trPr>
        <w:tc>
          <w:tcPr>
            <w:tcW w:w="969" w:type="pct"/>
            <w:vMerge w:val="restar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w:t>
            </w:r>
            <w:r>
              <w:rPr>
                <w:rFonts w:hint="eastAsia"/>
                <w:color w:val="000000" w:themeColor="text1"/>
                <w:sz w:val="21"/>
                <w:szCs w:val="21"/>
                <w:lang w:eastAsia="zh-CN"/>
                <w14:textFill>
                  <w14:solidFill>
                    <w14:schemeClr w14:val="tx1"/>
                  </w14:solidFill>
                </w14:textFill>
              </w:rPr>
              <w:t>监测</w:t>
            </w:r>
            <w:r>
              <w:rPr>
                <w:color w:val="000000" w:themeColor="text1"/>
                <w:sz w:val="21"/>
                <w:szCs w:val="21"/>
                <w14:textFill>
                  <w14:solidFill>
                    <w14:schemeClr w14:val="tx1"/>
                  </w14:solidFill>
                </w14:textFill>
              </w:rPr>
              <w:t>组</w:t>
            </w: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组长</w:t>
            </w:r>
          </w:p>
        </w:tc>
        <w:tc>
          <w:tcPr>
            <w:tcW w:w="732" w:type="pct"/>
            <w:vAlign w:val="center"/>
          </w:tcPr>
          <w:p>
            <w:pPr>
              <w:widowControl/>
              <w:spacing w:line="240" w:lineRule="exact"/>
              <w:ind w:left="0" w:leftChars="0" w:firstLine="0" w:firstLineChars="0"/>
              <w:jc w:val="center"/>
              <w:textAlignment w:val="center"/>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程志恒</w:t>
            </w:r>
          </w:p>
        </w:tc>
        <w:tc>
          <w:tcPr>
            <w:tcW w:w="1502" w:type="pct"/>
            <w:vAlign w:val="center"/>
          </w:tcPr>
          <w:p>
            <w:pPr>
              <w:widowControl/>
              <w:spacing w:line="240" w:lineRule="exact"/>
              <w:ind w:left="0" w:leftChars="0" w:firstLine="0" w:firstLineChars="0"/>
              <w:jc w:val="center"/>
              <w:textAlignment w:val="center"/>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项目经理</w:t>
            </w:r>
          </w:p>
        </w:tc>
        <w:tc>
          <w:tcPr>
            <w:tcW w:w="980"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18602939297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6" w:hRule="atLeast"/>
          <w:jc w:val="center"/>
        </w:trPr>
        <w:tc>
          <w:tcPr>
            <w:tcW w:w="969" w:type="pct"/>
            <w:vMerge w:val="continue"/>
            <w:vAlign w:val="center"/>
          </w:tcPr>
          <w:p>
            <w:pPr>
              <w:pStyle w:val="58"/>
              <w:rPr>
                <w:color w:val="000000" w:themeColor="text1"/>
                <w:sz w:val="21"/>
                <w:szCs w:val="21"/>
                <w14:textFill>
                  <w14:solidFill>
                    <w14:schemeClr w14:val="tx1"/>
                  </w14:solidFill>
                </w14:textFill>
              </w:rPr>
            </w:pP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成员</w:t>
            </w:r>
          </w:p>
        </w:tc>
        <w:tc>
          <w:tcPr>
            <w:tcW w:w="732" w:type="pct"/>
            <w:vAlign w:val="center"/>
          </w:tcPr>
          <w:p>
            <w:pPr>
              <w:pStyle w:val="58"/>
              <w:jc w:val="center"/>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吴党社</w:t>
            </w:r>
          </w:p>
        </w:tc>
        <w:tc>
          <w:tcPr>
            <w:tcW w:w="1502" w:type="pct"/>
            <w:vAlign w:val="center"/>
          </w:tcPr>
          <w:p>
            <w:pPr>
              <w:pStyle w:val="58"/>
              <w:jc w:val="center"/>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项目副经理</w:t>
            </w:r>
          </w:p>
        </w:tc>
        <w:tc>
          <w:tcPr>
            <w:tcW w:w="980"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18602939297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91" w:hRule="atLeast"/>
          <w:jc w:val="center"/>
        </w:trPr>
        <w:tc>
          <w:tcPr>
            <w:tcW w:w="969" w:type="pct"/>
            <w:vMerge w:val="restar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后勤保障组</w:t>
            </w: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组长</w:t>
            </w:r>
          </w:p>
        </w:tc>
        <w:tc>
          <w:tcPr>
            <w:tcW w:w="73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康亚</w:t>
            </w:r>
            <w:r>
              <w:rPr>
                <w:rFonts w:hint="eastAsia" w:ascii="Times New Roman" w:hAnsi="Times New Roman" w:cs="Times New Roman"/>
                <w:b w:val="0"/>
                <w:color w:val="000000" w:themeColor="text1"/>
                <w:kern w:val="2"/>
                <w:sz w:val="21"/>
                <w:szCs w:val="21"/>
                <w:highlight w:val="none"/>
                <w:lang w:val="en-US" w:eastAsia="zh-CN" w:bidi="ar-SA"/>
                <w14:textFill>
                  <w14:solidFill>
                    <w14:schemeClr w14:val="tx1"/>
                  </w14:solidFill>
                </w14:textFill>
              </w:rPr>
              <w:t>玲</w:t>
            </w:r>
          </w:p>
        </w:tc>
        <w:tc>
          <w:tcPr>
            <w:tcW w:w="150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后勤管理</w:t>
            </w:r>
          </w:p>
        </w:tc>
        <w:tc>
          <w:tcPr>
            <w:tcW w:w="980"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15721988066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53" w:hRule="atLeast"/>
          <w:jc w:val="center"/>
        </w:trPr>
        <w:tc>
          <w:tcPr>
            <w:tcW w:w="969" w:type="pct"/>
            <w:vMerge w:val="continue"/>
            <w:vAlign w:val="center"/>
          </w:tcPr>
          <w:p>
            <w:pPr>
              <w:pStyle w:val="58"/>
              <w:rPr>
                <w:color w:val="000000" w:themeColor="text1"/>
                <w:sz w:val="21"/>
                <w:szCs w:val="21"/>
                <w14:textFill>
                  <w14:solidFill>
                    <w14:schemeClr w14:val="tx1"/>
                  </w14:solidFill>
                </w14:textFill>
              </w:rPr>
            </w:pPr>
          </w:p>
        </w:tc>
        <w:tc>
          <w:tcPr>
            <w:tcW w:w="815" w:type="pct"/>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成员</w:t>
            </w:r>
          </w:p>
        </w:tc>
        <w:tc>
          <w:tcPr>
            <w:tcW w:w="73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王举琪</w:t>
            </w:r>
          </w:p>
        </w:tc>
        <w:tc>
          <w:tcPr>
            <w:tcW w:w="1502"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车辆管理</w:t>
            </w:r>
          </w:p>
        </w:tc>
        <w:tc>
          <w:tcPr>
            <w:tcW w:w="980" w:type="pct"/>
            <w:vAlign w:val="center"/>
          </w:tcPr>
          <w:p>
            <w:pPr>
              <w:pStyle w:val="58"/>
              <w:rPr>
                <w:color w:val="000000" w:themeColor="text1"/>
                <w:sz w:val="21"/>
                <w:szCs w:val="21"/>
                <w:highlight w:val="none"/>
                <w14:textFill>
                  <w14:solidFill>
                    <w14:schemeClr w14:val="tx1"/>
                  </w14:solidFill>
                </w14:textFill>
              </w:rPr>
            </w:pPr>
            <w:r>
              <w:rPr>
                <w:rFonts w:hint="eastAsia" w:ascii="Times New Roman" w:hAnsi="Times New Roman" w:eastAsia="仿宋" w:cs="Times New Roman"/>
                <w:b w:val="0"/>
                <w:color w:val="000000" w:themeColor="text1"/>
                <w:kern w:val="2"/>
                <w:sz w:val="21"/>
                <w:szCs w:val="21"/>
                <w:highlight w:val="none"/>
                <w:lang w:val="en-US" w:eastAsia="zh-CN" w:bidi="ar-SA"/>
                <w14:textFill>
                  <w14:solidFill>
                    <w14:schemeClr w14:val="tx1"/>
                  </w14:solidFill>
                </w14:textFill>
              </w:rPr>
              <w:t>13186089231</w:t>
            </w:r>
          </w:p>
        </w:tc>
      </w:tr>
    </w:tbl>
    <w:p>
      <w:pPr>
        <w:pStyle w:val="55"/>
        <w:rPr>
          <w:color w:val="000000" w:themeColor="text1"/>
          <w:sz w:val="21"/>
          <w:szCs w:val="21"/>
          <w14:textFill>
            <w14:solidFill>
              <w14:schemeClr w14:val="tx1"/>
            </w14:solidFill>
          </w14:textFill>
        </w:rPr>
      </w:pPr>
    </w:p>
    <w:bookmarkEnd w:id="107"/>
    <w:p>
      <w:pPr>
        <w:ind w:firstLine="562"/>
        <w:rPr>
          <w:b/>
          <w:bCs/>
          <w:color w:val="000000" w:themeColor="text1"/>
          <w14:textFill>
            <w14:solidFill>
              <w14:schemeClr w14:val="tx1"/>
            </w14:solidFill>
          </w14:textFill>
        </w:rPr>
      </w:pPr>
      <w:bookmarkStart w:id="108" w:name="_Toc431402297"/>
      <w:bookmarkEnd w:id="108"/>
      <w:r>
        <w:rPr>
          <w:b/>
          <w:bCs/>
          <w:color w:val="000000" w:themeColor="text1"/>
          <w14:textFill>
            <w14:solidFill>
              <w14:schemeClr w14:val="tx1"/>
            </w14:solidFill>
          </w14:textFill>
        </w:rPr>
        <w:t>二、应急救援队伍职责</w:t>
      </w:r>
    </w:p>
    <w:p>
      <w:pPr>
        <w:ind w:firstLine="562"/>
        <w:rPr>
          <w:b/>
          <w:bCs/>
          <w:color w:val="000000" w:themeColor="text1"/>
          <w14:textFill>
            <w14:solidFill>
              <w14:schemeClr w14:val="tx1"/>
            </w14:solidFill>
          </w14:textFill>
        </w:rPr>
      </w:pPr>
      <w:r>
        <w:rPr>
          <w:b/>
          <w:bCs/>
          <w:color w:val="000000" w:themeColor="text1"/>
          <w14:textFill>
            <w14:solidFill>
              <w14:schemeClr w14:val="tx1"/>
            </w14:solidFill>
          </w14:textFill>
        </w:rPr>
        <w:t>1. 应急指挥部职责</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应急指挥部，负责协调事件应急期间各个机构的关系，统筹安排整个应急行动，保证行动快速、有效地进行，避免因为行动紊乱而造成不必要的污染扩散。应急救援指挥部的具体职责如下：</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（1）贯彻执行国家、突发环境事件发生地政府、上级主管部门关于突发环境事件和应急救援的方针、政策及有关规定；</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（2）组织编制高速公路突发环境事件应急预案，组建突发环境事故应急救援队伍；</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（3）组建突发环境事件应急处置队伍；</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（4）负责应急防范设施（备）的建设，以及应急处置物资，特别是处理泄漏物、消解和吸收污染物的物资储备；</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（5）监督、检查做好突发环境事件的预防措施和应急处置的各项准备工作；</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（6）负责组织预案的更新；</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（7）批准本预案的启动和终止；</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（8）确定现场指挥人员；</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（9）协助事件现场有关工作；</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（10）负责人员、资源配置和应急队伍的调动；</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（11）及时向上级环保主管部门报告突发环境事件的具体情况，必要时向有关单位发出救援请求，并向周边单位通报相关情况；</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（12）接受上级应急指挥部门或政府的指令和调动，协助事件处理。配合政府部门对环境进行恢复、事件调查、经验教训总结；</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（13）负责保护事件现场及相关数据；</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（14）有计划的组织实施突发环境事件应急处置的培训和应急预案的演习，负责对员工进行应急知识和基本防护方法的培训。</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▲总指挥</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（1）组织制定并且实施环境污染事件应急救援预案。</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（2）根据突发事件实际情况进行预警发布，将指令下达给应急办公室。明确指出事件状态下各级人员的职责。</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3）亲临现场指挥，对重大事项进行决策，并在突发事件应急处理中拥有绝对指挥权。批准预案的启动与终止。布置事件现场有关工作，查清危险物、污染物所产生的原因、估算危害程度。指挥协调各部门进行危险源、污染源的控制，降低事件人员伤亡和财产损失。</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（4）负责环境污染事件的处置、救援的全面指挥、评估事件的规模，决定是否需要外部应急救援力量支援。</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（5）负责决定事件可能扩大后的应急响应。</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（6）负责处理和发布有关信息并及时向上一级有关部门报告和通报应急救援情况，并做好对有可能受影响区域的通报工作，指导员工防护、组织员工安全撤离。</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（7）向上级部门递交事件报告和事件应急救援报告，组织指挥部成员总结事件应急救援行动的经验和教训。</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（8）组织人员实施训练和演练应急救援预案，并组织人员的培训。</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（9）负责保护现场，做好现场清理，消除危险隐患。</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（10）负责组织预案的审批与更新。</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（11）负责组织外审。</w:t>
      </w:r>
    </w:p>
    <w:p>
      <w:pPr>
        <w:ind w:firstLine="562"/>
        <w:rPr>
          <w:b/>
          <w:bCs/>
          <w:color w:val="000000" w:themeColor="text1"/>
          <w14:textFill>
            <w14:solidFill>
              <w14:schemeClr w14:val="tx1"/>
            </w14:solidFill>
          </w14:textFill>
        </w:rPr>
      </w:pPr>
      <w:r>
        <w:rPr>
          <w:b/>
          <w:bCs/>
          <w:color w:val="000000" w:themeColor="text1"/>
          <w14:textFill>
            <w14:solidFill>
              <w14:schemeClr w14:val="tx1"/>
            </w14:solidFill>
          </w14:textFill>
        </w:rPr>
        <w:t>2. 应急办公室</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突发环境事件应急指挥中心下设应急办公室，负责应急救援指挥中心的具体事务工作。其主要职责如下：</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（1）协助总指挥组织协调各应急分组的工作；</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（2）检查督促事件预防措施是否符合相关规定：</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（3）组织“应急救援预案的模拟学习工作”；</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（4）指挥协调参与应急救援的组织和人员，按预案规定的职责、任务开展工作：</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（5）迅速确定应急救援的实施方案，警戒区域，并组织实施：</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（6）有效利用各种应急资源保证在最短的时间内完成对事件现场应急行动；</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（7）负责接受和安排省、市内外提供的紧急救援；</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（8）负责应急救援指挥部的日常事务和对外接待工作；</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（9）负责现场人力资源和物资的管理；</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（10）参与事件调查分析并制定防范措施；</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（11）及时通知环保部门</w:t>
      </w:r>
      <w:bookmarkStart w:id="109" w:name="_Hlk80955149"/>
      <w:r>
        <w:rPr>
          <w:color w:val="000000" w:themeColor="text1"/>
          <w14:textFill>
            <w14:solidFill>
              <w14:schemeClr w14:val="tx1"/>
            </w14:solidFill>
          </w14:textFill>
        </w:rPr>
        <w:t>（</w:t>
      </w:r>
      <w:bookmarkEnd w:id="109"/>
      <w:r>
        <w:rPr>
          <w:rFonts w:hint="eastAsia" w:cs="Times New Roman"/>
          <w:color w:val="auto"/>
          <w:lang w:eastAsia="zh-CN"/>
        </w:rPr>
        <w:t>西安</w:t>
      </w:r>
      <w:r>
        <w:rPr>
          <w:rFonts w:hint="default" w:ascii="Times New Roman" w:hAnsi="Times New Roman" w:eastAsia="仿宋" w:cs="Times New Roman"/>
          <w:color w:val="auto"/>
        </w:rPr>
        <w:t>市生态环境局</w:t>
      </w:r>
      <w:r>
        <w:rPr>
          <w:rFonts w:hint="eastAsia" w:cs="Times New Roman"/>
          <w:color w:val="auto"/>
          <w:lang w:eastAsia="zh-CN"/>
        </w:rPr>
        <w:t>及事故发生地所属分局（西咸新区分局、高新分局、灞桥分局、雁塔分局）</w:t>
      </w:r>
      <w:r>
        <w:rPr>
          <w:rFonts w:hint="default" w:ascii="Times New Roman" w:hAnsi="Times New Roman" w:eastAsia="仿宋" w:cs="Times New Roman"/>
          <w:color w:val="auto"/>
        </w:rPr>
        <w:t>、</w:t>
      </w:r>
      <w:r>
        <w:rPr>
          <w:rFonts w:hint="eastAsia" w:cs="Times New Roman"/>
          <w:color w:val="auto"/>
          <w:lang w:eastAsia="zh-CN"/>
        </w:rPr>
        <w:t>西安</w:t>
      </w:r>
      <w:r>
        <w:rPr>
          <w:rFonts w:hint="default" w:ascii="Times New Roman" w:hAnsi="Times New Roman" w:eastAsia="仿宋" w:cs="Times New Roman"/>
          <w:color w:val="auto"/>
        </w:rPr>
        <w:t>市环境监测中心站</w:t>
      </w:r>
      <w:r>
        <w:rPr>
          <w:color w:val="000000" w:themeColor="text1"/>
          <w14:textFill>
            <w14:solidFill>
              <w14:schemeClr w14:val="tx1"/>
            </w14:solidFill>
          </w14:textFill>
        </w:rPr>
        <w:t>以及各级安监部门，及时联络专家，进行相关应急事项咨询，并向上级反馈。</w:t>
      </w:r>
    </w:p>
    <w:p>
      <w:pPr>
        <w:ind w:firstLine="562"/>
        <w:rPr>
          <w:b/>
          <w:bCs/>
          <w:color w:val="000000" w:themeColor="text1"/>
          <w14:textFill>
            <w14:solidFill>
              <w14:schemeClr w14:val="tx1"/>
            </w14:solidFill>
          </w14:textFill>
        </w:rPr>
      </w:pPr>
      <w:r>
        <w:rPr>
          <w:b/>
          <w:bCs/>
          <w:color w:val="000000" w:themeColor="text1"/>
          <w14:textFill>
            <w14:solidFill>
              <w14:schemeClr w14:val="tx1"/>
            </w14:solidFill>
          </w14:textFill>
        </w:rPr>
        <w:t>3. 应急警戒组</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应急警戒组主要履行以下职责：</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（1）召集所属人员在第一时间到达事故现场、参加抢险工作；</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2）针对不同的事故，采用行之有效的方法（液体运输罐堵漏按照危化品属性，采取相应的堵漏措施）、路面沙土围堵、桥面泄水孔塞堵、封堵路基段截排水沟，对泄漏物进行截留等），在最短的时间内完成应急行动；</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（3）配合上级部门派来的救援人员，挖掘、抢险人员和重要物资及完成其它抢险任务；</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（4）尽最大能力减少财产的损失和人员伤亡；</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（5）负责事故达到控制以后，在技术部门或专家的指导下协助污染控制组清理现场遗留危险物质的消除治理和处置现场危险物质；恢复各种设施至正常使用状态；</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（6）负责协调组织事故现场人员、设备的抢险，对发生的次生灾害的抢险排险工作；</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（7）组织对爆炸、有毒、有害、腐蚀性物品的抢险及排险；</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8）对泄漏危险物进行收容、吸附和洗消，将收容物和洗消物作为危险废物委托有资质单位进行最终处置；若泄漏的危险物质进入水体，上报应急指挥中心，配合当地生态环境部门对受污染水体进行处理，并对河道进行截污控制；针对事故对人体、动植物、土壤水源、空气造成的直接危害和可能产生的危害，迅速采取封闭、隔离、消毒等措施。</w:t>
      </w:r>
    </w:p>
    <w:p>
      <w:pPr>
        <w:ind w:firstLine="562"/>
        <w:rPr>
          <w:b/>
          <w:bCs/>
          <w:color w:val="000000" w:themeColor="text1"/>
          <w14:textFill>
            <w14:solidFill>
              <w14:schemeClr w14:val="tx1"/>
            </w14:solidFill>
          </w14:textFill>
        </w:rPr>
      </w:pPr>
      <w:r>
        <w:rPr>
          <w:b/>
          <w:bCs/>
          <w:color w:val="000000" w:themeColor="text1"/>
          <w14:textFill>
            <w14:solidFill>
              <w14:schemeClr w14:val="tx1"/>
            </w14:solidFill>
          </w14:textFill>
        </w:rPr>
        <w:t>4. 交通疏导组</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（1）事故发生后，及时赶赴事故路段，根据现场情况，及时联络交警、消防部门，与其协同做好现场的保护、警戒、交通疏导、管制和安全防范工作；</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（2）负责布置安全警戒，划分警戒区域，实施高速公路定岗、定时封锁，防止事故区外的人员、车辆进入事故区域；</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（3）对载有危险化学品的车辆发生的交通事故，对现场及周围人员进行防护指导、人员疏散及周围物资转移等工作，并做好现场的管控工作；</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（4）负责对现场及周围人员进行防护指导，疏散人员、协助抢救伤员，立即对事故现场进行隔离，现场周围物资的转移，负责保护人员和财产的安全；</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（5）负责现场交通疏导，确保救护车辆、消防车辆顺利进入事故现场进行救援，确保救援、逃生路线畅通，并维护现场治安秩序和道路交通；</w:t>
      </w:r>
    </w:p>
    <w:p>
      <w:pPr>
        <w:ind w:firstLine="562"/>
        <w:rPr>
          <w:b/>
          <w:bCs/>
          <w:color w:val="000000" w:themeColor="text1"/>
          <w14:textFill>
            <w14:solidFill>
              <w14:schemeClr w14:val="tx1"/>
            </w14:solidFill>
          </w14:textFill>
        </w:rPr>
      </w:pPr>
      <w:r>
        <w:rPr>
          <w:b/>
          <w:bCs/>
          <w:color w:val="000000" w:themeColor="text1"/>
          <w14:textFill>
            <w14:solidFill>
              <w14:schemeClr w14:val="tx1"/>
            </w14:solidFill>
          </w14:textFill>
        </w:rPr>
        <w:t>5. 通讯联络组</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（1）负责事故基本情况、施救、处置进展等情况的信息搜集、整理和反馈工作；</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（2）做好上传下达、请示报告、对外新闻发布工作；</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（3）及时向政府和上级主管部门汇报应急救援、处置的进展情况，对应急工作中发生的争议和问题，应及时向应急指挥办反映。</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（4）协调应急办公室工作，履行会议组织、信息汇总、综合协调和资料管理等职责；</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（5）接受总指挥和现场指挥的安排和调动，接到事故救援预案启动命令后，立即响应并通知各应急小组，传达总指挥的使命，同时确保应急通讯畅通;</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（6）及时通知环保部门</w:t>
      </w:r>
      <w:r>
        <w:rPr>
          <w:color w:val="000000" w:themeColor="text1"/>
          <w:highlight w:val="none"/>
          <w14:textFill>
            <w14:solidFill>
              <w14:schemeClr w14:val="tx1"/>
            </w14:solidFill>
          </w14:textFill>
        </w:rPr>
        <w:t>（</w:t>
      </w:r>
      <w:r>
        <w:rPr>
          <w:rFonts w:hint="eastAsia" w:cs="Times New Roman"/>
          <w:color w:val="auto"/>
          <w:lang w:eastAsia="zh-CN"/>
        </w:rPr>
        <w:t>西安</w:t>
      </w:r>
      <w:r>
        <w:rPr>
          <w:rFonts w:hint="default" w:ascii="Times New Roman" w:hAnsi="Times New Roman" w:eastAsia="仿宋" w:cs="Times New Roman"/>
          <w:color w:val="auto"/>
        </w:rPr>
        <w:t>市生态环境局</w:t>
      </w:r>
      <w:r>
        <w:rPr>
          <w:rFonts w:hint="eastAsia" w:cs="Times New Roman"/>
          <w:color w:val="auto"/>
          <w:lang w:eastAsia="zh-CN"/>
        </w:rPr>
        <w:t>及事故发生地所属分局（西咸新区分局、高新分局、灞桥分局、雁塔分局）</w:t>
      </w:r>
      <w:r>
        <w:rPr>
          <w:rFonts w:hint="default" w:ascii="Times New Roman" w:hAnsi="Times New Roman" w:eastAsia="仿宋" w:cs="Times New Roman"/>
          <w:color w:val="auto"/>
        </w:rPr>
        <w:t>、</w:t>
      </w:r>
      <w:r>
        <w:rPr>
          <w:rFonts w:hint="eastAsia" w:cs="Times New Roman"/>
          <w:color w:val="auto"/>
          <w:lang w:eastAsia="zh-CN"/>
        </w:rPr>
        <w:t>西安</w:t>
      </w:r>
      <w:r>
        <w:rPr>
          <w:rFonts w:hint="default" w:ascii="Times New Roman" w:hAnsi="Times New Roman" w:eastAsia="仿宋" w:cs="Times New Roman"/>
          <w:color w:val="auto"/>
        </w:rPr>
        <w:t>市环境监测中心站以及</w:t>
      </w:r>
      <w:r>
        <w:rPr>
          <w:color w:val="000000" w:themeColor="text1"/>
          <w14:textFill>
            <w14:solidFill>
              <w14:schemeClr w14:val="tx1"/>
            </w14:solidFill>
          </w14:textFill>
        </w:rPr>
        <w:t>应急管理部门，及时联络专家，进行相关应急事项咨询，并向上级反馈。</w:t>
      </w:r>
    </w:p>
    <w:p>
      <w:pPr>
        <w:ind w:firstLine="562"/>
        <w:rPr>
          <w:rFonts w:eastAsia="仿宋" w:cs="Times New Roman"/>
          <w:b/>
          <w:bCs/>
          <w:color w:val="auto"/>
        </w:rPr>
      </w:pPr>
      <w:r>
        <w:rPr>
          <w:rFonts w:hint="eastAsia" w:cs="Times New Roman"/>
          <w:b/>
          <w:bCs/>
          <w:color w:val="auto"/>
          <w:lang w:val="en-US" w:eastAsia="zh-CN"/>
        </w:rPr>
        <w:t>6</w:t>
      </w:r>
      <w:r>
        <w:rPr>
          <w:rFonts w:eastAsia="仿宋" w:cs="Times New Roman"/>
          <w:b/>
          <w:bCs/>
          <w:color w:val="auto"/>
        </w:rPr>
        <w:t xml:space="preserve">. </w:t>
      </w:r>
      <w:r>
        <w:rPr>
          <w:rFonts w:hint="eastAsia" w:eastAsia="仿宋" w:cs="Times New Roman"/>
          <w:b/>
          <w:bCs/>
          <w:color w:val="auto"/>
        </w:rPr>
        <w:t>现场处置组</w:t>
      </w:r>
    </w:p>
    <w:p>
      <w:pPr>
        <w:ind w:firstLine="560"/>
        <w:rPr>
          <w:rFonts w:eastAsia="仿宋" w:cs="Times New Roman"/>
          <w:color w:val="auto"/>
        </w:rPr>
      </w:pPr>
      <w:r>
        <w:rPr>
          <w:rFonts w:hint="eastAsia" w:eastAsia="仿宋" w:cs="Times New Roman"/>
          <w:color w:val="auto"/>
        </w:rPr>
        <w:t>根据事故发生类型采取相应现场救援措施，及</w:t>
      </w:r>
      <w:r>
        <w:rPr>
          <w:rFonts w:eastAsia="仿宋" w:cs="Times New Roman"/>
          <w:color w:val="auto"/>
        </w:rPr>
        <w:t>时</w:t>
      </w:r>
      <w:r>
        <w:rPr>
          <w:rFonts w:hint="eastAsia" w:eastAsia="仿宋" w:cs="Times New Roman"/>
          <w:color w:val="auto"/>
        </w:rPr>
        <w:t>对污染物</w:t>
      </w:r>
      <w:r>
        <w:rPr>
          <w:rFonts w:eastAsia="仿宋" w:cs="Times New Roman"/>
          <w:color w:val="auto"/>
        </w:rPr>
        <w:t>进行拦、堵截处理，防治污染物扩散</w:t>
      </w:r>
      <w:r>
        <w:rPr>
          <w:rFonts w:hint="eastAsia" w:eastAsia="仿宋" w:cs="Times New Roman"/>
          <w:color w:val="auto"/>
        </w:rPr>
        <w:t>。</w:t>
      </w:r>
    </w:p>
    <w:p>
      <w:pPr>
        <w:ind w:firstLine="560"/>
        <w:jc w:val="left"/>
        <w:rPr>
          <w:rFonts w:eastAsia="仿宋" w:cs="Times New Roman"/>
          <w:color w:val="auto"/>
        </w:rPr>
      </w:pPr>
      <w:r>
        <w:rPr>
          <w:rFonts w:hint="eastAsia" w:eastAsia="仿宋" w:cs="Times New Roman"/>
          <w:color w:val="auto"/>
        </w:rPr>
        <w:t>（1）收集汇总相关数据，及时掌握水源地突发事件的地点及影响范围，组织进行技术研判，开展事态分析，组织制定应急处置方案；</w:t>
      </w:r>
    </w:p>
    <w:p>
      <w:pPr>
        <w:ind w:firstLine="560"/>
        <w:jc w:val="left"/>
        <w:rPr>
          <w:rFonts w:eastAsia="仿宋" w:cs="Times New Roman"/>
          <w:color w:val="auto"/>
        </w:rPr>
      </w:pPr>
      <w:r>
        <w:rPr>
          <w:rFonts w:hint="eastAsia" w:eastAsia="仿宋" w:cs="Times New Roman"/>
          <w:color w:val="auto"/>
        </w:rPr>
        <w:t>（2）迅速组织切断污染源，分析污染途径，确定防止污染物扩散的程序；</w:t>
      </w:r>
    </w:p>
    <w:p>
      <w:pPr>
        <w:ind w:firstLine="560"/>
        <w:jc w:val="left"/>
        <w:rPr>
          <w:rFonts w:eastAsia="仿宋" w:cs="Times New Roman"/>
          <w:color w:val="auto"/>
        </w:rPr>
      </w:pPr>
      <w:r>
        <w:rPr>
          <w:rFonts w:hint="eastAsia" w:eastAsia="仿宋" w:cs="Times New Roman"/>
          <w:color w:val="auto"/>
        </w:rPr>
        <w:t>（3）组织采取有效措施，负责现场污染物消除、围堵和削减，以及污染物收集、转运和异地处置等工作；</w:t>
      </w:r>
    </w:p>
    <w:p>
      <w:pPr>
        <w:ind w:firstLine="560"/>
        <w:jc w:val="left"/>
        <w:rPr>
          <w:rFonts w:eastAsia="仿宋" w:cs="Times New Roman"/>
          <w:color w:val="auto"/>
        </w:rPr>
      </w:pPr>
      <w:r>
        <w:rPr>
          <w:rFonts w:hint="eastAsia" w:eastAsia="仿宋" w:cs="Times New Roman"/>
          <w:color w:val="auto"/>
        </w:rPr>
        <w:t>（4）明确不同情况下的现场处置人员须采取的个人防护措施；</w:t>
      </w:r>
    </w:p>
    <w:p>
      <w:pPr>
        <w:ind w:firstLine="560"/>
        <w:jc w:val="left"/>
        <w:rPr>
          <w:rFonts w:eastAsia="仿宋" w:cs="Times New Roman"/>
          <w:color w:val="auto"/>
        </w:rPr>
      </w:pPr>
      <w:r>
        <w:rPr>
          <w:rFonts w:hint="eastAsia" w:eastAsia="仿宋" w:cs="Times New Roman"/>
          <w:color w:val="auto"/>
        </w:rPr>
        <w:t>（5）组织建立现场警戒区和交通管制区域，确定重点防护区域，确定受威胁人员疏散方式和途径，疏散受威胁人员转移至安全紧急避险场所；</w:t>
      </w:r>
    </w:p>
    <w:p>
      <w:pPr>
        <w:ind w:firstLine="560"/>
        <w:jc w:val="left"/>
        <w:rPr>
          <w:rFonts w:eastAsia="仿宋" w:cs="Times New Roman"/>
          <w:b/>
          <w:bCs/>
          <w:color w:val="auto"/>
        </w:rPr>
      </w:pPr>
      <w:r>
        <w:rPr>
          <w:rFonts w:hint="eastAsia" w:eastAsia="仿宋" w:cs="Times New Roman"/>
          <w:color w:val="auto"/>
        </w:rPr>
        <w:t>（6）协调公安消防等有关力量参与应急处置。</w:t>
      </w:r>
    </w:p>
    <w:p>
      <w:pPr>
        <w:ind w:firstLine="562"/>
        <w:rPr>
          <w:rFonts w:eastAsia="仿宋" w:cs="Times New Roman"/>
          <w:b/>
          <w:bCs/>
          <w:color w:val="auto"/>
        </w:rPr>
      </w:pPr>
      <w:r>
        <w:rPr>
          <w:rFonts w:hint="eastAsia" w:eastAsia="仿宋" w:cs="Times New Roman"/>
          <w:b/>
          <w:bCs/>
          <w:color w:val="auto"/>
        </w:rPr>
        <w:t>7</w:t>
      </w:r>
      <w:r>
        <w:rPr>
          <w:rFonts w:eastAsia="仿宋" w:cs="Times New Roman"/>
          <w:b/>
          <w:bCs/>
          <w:color w:val="auto"/>
        </w:rPr>
        <w:t xml:space="preserve">. </w:t>
      </w:r>
      <w:r>
        <w:rPr>
          <w:rFonts w:hint="eastAsia" w:eastAsia="仿宋" w:cs="Times New Roman"/>
          <w:b/>
          <w:bCs/>
          <w:color w:val="auto"/>
        </w:rPr>
        <w:t>应急监测</w:t>
      </w:r>
      <w:r>
        <w:rPr>
          <w:rFonts w:eastAsia="仿宋" w:cs="Times New Roman"/>
          <w:b/>
          <w:bCs/>
          <w:color w:val="auto"/>
        </w:rPr>
        <w:t>组</w:t>
      </w:r>
    </w:p>
    <w:p>
      <w:pPr>
        <w:ind w:firstLine="560"/>
        <w:rPr>
          <w:rFonts w:eastAsia="仿宋" w:cs="Times New Roman"/>
          <w:color w:val="auto"/>
        </w:rPr>
      </w:pPr>
      <w:r>
        <w:rPr>
          <w:rFonts w:eastAsia="仿宋" w:cs="Times New Roman"/>
          <w:color w:val="auto"/>
        </w:rPr>
        <w:t>突发环境事件发生后，应急监测组根据事故现场情况积极配合生态环境部门开展应急监测工作。</w:t>
      </w:r>
    </w:p>
    <w:p>
      <w:pPr>
        <w:ind w:firstLine="560"/>
        <w:rPr>
          <w:rFonts w:eastAsia="仿宋" w:cs="Times New Roman"/>
          <w:color w:val="auto"/>
        </w:rPr>
      </w:pPr>
      <w:r>
        <w:rPr>
          <w:rFonts w:hint="eastAsia" w:eastAsia="仿宋" w:cs="Times New Roman"/>
          <w:color w:val="auto"/>
        </w:rPr>
        <w:t>（1）组织技术人员携带监测仪器赶赴事故现场</w:t>
      </w:r>
      <w:r>
        <w:rPr>
          <w:rFonts w:hint="eastAsia" w:eastAsia="仿宋" w:cs="Times New Roman"/>
          <w:color w:val="auto"/>
          <w:lang w:eastAsia="zh-CN"/>
        </w:rPr>
        <w:t>，</w:t>
      </w:r>
      <w:r>
        <w:rPr>
          <w:rFonts w:hint="eastAsia" w:eastAsia="仿宋" w:cs="Times New Roman"/>
          <w:color w:val="auto"/>
        </w:rPr>
        <w:t>对爆炸、泄漏毒化气体进行环境监测；</w:t>
      </w:r>
    </w:p>
    <w:p>
      <w:pPr>
        <w:ind w:firstLine="560"/>
        <w:rPr>
          <w:rFonts w:eastAsia="仿宋" w:cs="Times New Roman"/>
          <w:color w:val="auto"/>
        </w:rPr>
      </w:pPr>
      <w:r>
        <w:rPr>
          <w:rFonts w:hint="eastAsia" w:eastAsia="仿宋" w:cs="Times New Roman"/>
          <w:color w:val="auto"/>
        </w:rPr>
        <w:t>（2）测定爆炸物品及危险化学品的爆炸极限以及可能造成的冲击波、地震波；</w:t>
      </w:r>
    </w:p>
    <w:p>
      <w:pPr>
        <w:ind w:firstLine="560"/>
        <w:rPr>
          <w:rFonts w:eastAsia="仿宋" w:cs="Times New Roman"/>
          <w:color w:val="auto"/>
        </w:rPr>
      </w:pPr>
      <w:r>
        <w:rPr>
          <w:rFonts w:hint="eastAsia" w:eastAsia="仿宋" w:cs="Times New Roman"/>
          <w:color w:val="auto"/>
        </w:rPr>
        <w:t>（3）及时向指挥部通报监测情况</w:t>
      </w:r>
      <w:r>
        <w:rPr>
          <w:rFonts w:hint="eastAsia" w:eastAsia="仿宋" w:cs="Times New Roman"/>
          <w:color w:val="auto"/>
          <w:lang w:eastAsia="zh-CN"/>
        </w:rPr>
        <w:t>，</w:t>
      </w:r>
      <w:r>
        <w:rPr>
          <w:rFonts w:hint="eastAsia" w:eastAsia="仿宋" w:cs="Times New Roman"/>
          <w:color w:val="auto"/>
        </w:rPr>
        <w:t>并提出疏散群众、妥善处置的合理化建议；</w:t>
      </w:r>
    </w:p>
    <w:p>
      <w:pPr>
        <w:ind w:firstLine="560"/>
        <w:rPr>
          <w:rFonts w:hint="eastAsia" w:eastAsia="仿宋" w:cs="Times New Roman"/>
          <w:color w:val="auto"/>
        </w:rPr>
      </w:pPr>
      <w:r>
        <w:rPr>
          <w:rFonts w:hint="eastAsia" w:eastAsia="仿宋" w:cs="Times New Roman"/>
          <w:color w:val="auto"/>
        </w:rPr>
        <w:t>（4）坚守岗位</w:t>
      </w:r>
      <w:r>
        <w:rPr>
          <w:rFonts w:hint="eastAsia" w:eastAsia="仿宋" w:cs="Times New Roman"/>
          <w:color w:val="auto"/>
          <w:lang w:eastAsia="zh-CN"/>
        </w:rPr>
        <w:t>，</w:t>
      </w:r>
      <w:r>
        <w:rPr>
          <w:rFonts w:hint="eastAsia" w:eastAsia="仿宋" w:cs="Times New Roman"/>
          <w:color w:val="auto"/>
        </w:rPr>
        <w:t>同一线指挥员保持密切联系，不断进行监测，并根据形势的变化做出正确判断，及时反馈给指挥部，直到险情排除。</w:t>
      </w:r>
    </w:p>
    <w:p>
      <w:pPr>
        <w:ind w:firstLine="560"/>
        <w:rPr>
          <w:rFonts w:hint="eastAsia" w:eastAsia="仿宋" w:cs="Times New Roman"/>
          <w:color w:val="auto"/>
          <w:lang w:eastAsia="zh-CN"/>
        </w:rPr>
      </w:pPr>
      <w:r>
        <w:rPr>
          <w:rFonts w:hint="eastAsia" w:eastAsia="仿宋" w:cs="Times New Roman"/>
          <w:color w:val="auto"/>
          <w:lang w:eastAsia="zh-CN"/>
        </w:rPr>
        <w:t>（</w:t>
      </w:r>
      <w:r>
        <w:rPr>
          <w:rFonts w:hint="eastAsia" w:eastAsia="仿宋" w:cs="Times New Roman"/>
          <w:color w:val="auto"/>
          <w:lang w:val="en-US" w:eastAsia="zh-CN"/>
        </w:rPr>
        <w:t>5</w:t>
      </w:r>
      <w:r>
        <w:rPr>
          <w:rFonts w:hint="eastAsia" w:eastAsia="仿宋" w:cs="Times New Roman"/>
          <w:color w:val="auto"/>
          <w:lang w:eastAsia="zh-CN"/>
        </w:rPr>
        <w:t>）根据事故发生具体情况，若当地环境监测部门不具备事故危化品的检测能力，应急监测小组要及时联系第三方检测机构（</w:t>
      </w:r>
      <w:r>
        <w:rPr>
          <w:rFonts w:hint="eastAsia" w:cs="Times New Roman"/>
          <w:color w:val="auto"/>
          <w:lang w:eastAsia="zh-CN"/>
        </w:rPr>
        <w:t>陕西省交通环境监测中心站有限公司</w:t>
      </w:r>
      <w:r>
        <w:rPr>
          <w:rFonts w:hint="eastAsia" w:eastAsia="仿宋" w:cs="Times New Roman"/>
          <w:color w:val="auto"/>
          <w:lang w:eastAsia="zh-CN"/>
        </w:rPr>
        <w:t>）进行求助。</w:t>
      </w:r>
    </w:p>
    <w:p>
      <w:pPr>
        <w:ind w:firstLine="562"/>
        <w:rPr>
          <w:rFonts w:eastAsia="仿宋" w:cs="Times New Roman"/>
          <w:b/>
          <w:bCs/>
          <w:color w:val="auto"/>
        </w:rPr>
      </w:pPr>
      <w:r>
        <w:rPr>
          <w:rFonts w:hint="eastAsia" w:eastAsia="仿宋" w:cs="Times New Roman"/>
          <w:b/>
          <w:bCs/>
          <w:color w:val="auto"/>
        </w:rPr>
        <w:t>8</w:t>
      </w:r>
      <w:r>
        <w:rPr>
          <w:rFonts w:eastAsia="仿宋" w:cs="Times New Roman"/>
          <w:b/>
          <w:bCs/>
          <w:color w:val="auto"/>
        </w:rPr>
        <w:t>. 后勤保障组</w:t>
      </w:r>
    </w:p>
    <w:p>
      <w:pPr>
        <w:ind w:firstLine="560"/>
        <w:rPr>
          <w:rFonts w:eastAsia="仿宋" w:cs="Times New Roman"/>
          <w:color w:val="auto"/>
        </w:rPr>
      </w:pPr>
      <w:r>
        <w:rPr>
          <w:rFonts w:eastAsia="仿宋" w:cs="Times New Roman"/>
          <w:color w:val="auto"/>
        </w:rPr>
        <w:t>（1）协助当地政府、医疗、交警等单位，做好现场死伤人员、乘客的转移安置工作；</w:t>
      </w:r>
    </w:p>
    <w:p>
      <w:pPr>
        <w:ind w:firstLine="560"/>
        <w:rPr>
          <w:rFonts w:eastAsia="仿宋" w:cs="Times New Roman"/>
          <w:color w:val="auto"/>
        </w:rPr>
      </w:pPr>
      <w:r>
        <w:rPr>
          <w:rFonts w:eastAsia="仿宋" w:cs="Times New Roman"/>
          <w:color w:val="auto"/>
        </w:rPr>
        <w:t>（2）根据勘查和抢救工作的需要，做好车辆、物资的调度工作，负责落实现场应急救援物资、资金及生活等方面的保障及保障措施；</w:t>
      </w:r>
    </w:p>
    <w:p>
      <w:pPr>
        <w:ind w:firstLine="560"/>
        <w:rPr>
          <w:rFonts w:eastAsia="仿宋" w:cs="Times New Roman"/>
          <w:color w:val="auto"/>
        </w:rPr>
      </w:pPr>
      <w:r>
        <w:rPr>
          <w:rFonts w:eastAsia="仿宋" w:cs="Times New Roman"/>
          <w:color w:val="auto"/>
        </w:rPr>
        <w:t>（3）做好本单位危险品应急处置相关设备、工具、防护用具的准备工作，协助当地政府和有关部门做好各类物资、设备和人员的紧急调用工作；</w:t>
      </w:r>
    </w:p>
    <w:p>
      <w:pPr>
        <w:ind w:firstLine="560"/>
        <w:rPr>
          <w:rFonts w:eastAsia="仿宋" w:cs="Times New Roman"/>
          <w:color w:val="auto"/>
        </w:rPr>
      </w:pPr>
      <w:r>
        <w:rPr>
          <w:rFonts w:eastAsia="仿宋" w:cs="Times New Roman"/>
          <w:color w:val="auto"/>
        </w:rPr>
        <w:t>（4）与交通疏导组配合，保障交通运输畅通无阻，为处置事故的应急物资、应急资金、应急增援、应急救治、生活等提供可靠保障；</w:t>
      </w:r>
    </w:p>
    <w:p>
      <w:pPr>
        <w:ind w:firstLine="560"/>
        <w:rPr>
          <w:rFonts w:eastAsia="仿宋" w:cs="Times New Roman"/>
          <w:color w:val="auto"/>
        </w:rPr>
      </w:pPr>
      <w:r>
        <w:rPr>
          <w:rFonts w:eastAsia="仿宋" w:cs="Times New Roman"/>
          <w:color w:val="auto"/>
        </w:rPr>
        <w:t xml:space="preserve">（5）负责保障抢险救援现场的供电、供水，网电电源终断后，自备电源迅速供电； </w:t>
      </w:r>
    </w:p>
    <w:p>
      <w:pPr>
        <w:ind w:firstLine="560"/>
        <w:rPr>
          <w:rFonts w:eastAsia="仿宋" w:cs="Times New Roman"/>
          <w:color w:val="auto"/>
        </w:rPr>
      </w:pPr>
      <w:r>
        <w:rPr>
          <w:rFonts w:eastAsia="仿宋" w:cs="Times New Roman"/>
          <w:color w:val="auto"/>
        </w:rPr>
        <w:t>（6）负责现场应急处置工作人员食宿等基本生活保障。</w:t>
      </w:r>
    </w:p>
    <w:p>
      <w:pPr>
        <w:ind w:firstLine="560"/>
        <w:rPr>
          <w:rFonts w:eastAsia="仿宋" w:cs="Times New Roman"/>
          <w:color w:val="auto"/>
        </w:rPr>
      </w:pPr>
      <w:r>
        <w:rPr>
          <w:rFonts w:eastAsia="仿宋" w:cs="Times New Roman"/>
          <w:color w:val="auto"/>
        </w:rPr>
        <w:t>（7）组织设备检修事宜，保质保量按时供应所需的各种备品备件，并落实好应急所需的各种专业工具；</w:t>
      </w:r>
    </w:p>
    <w:p>
      <w:pPr>
        <w:ind w:firstLine="560"/>
        <w:rPr>
          <w:color w:val="000000" w:themeColor="text1"/>
          <w14:textFill>
            <w14:solidFill>
              <w14:schemeClr w14:val="tx1"/>
            </w14:solidFill>
          </w14:textFill>
        </w:rPr>
      </w:pPr>
      <w:r>
        <w:rPr>
          <w:rFonts w:eastAsia="仿宋" w:cs="Times New Roman"/>
          <w:color w:val="auto"/>
        </w:rPr>
        <w:t>（8）担负救援抢险和设施修复任务。</w:t>
      </w:r>
    </w:p>
    <w:p>
      <w:pPr>
        <w:pStyle w:val="11"/>
        <w:ind w:firstLine="562"/>
        <w:rPr>
          <w:rFonts w:eastAsia="仿宋"/>
          <w:color w:val="000000" w:themeColor="text1"/>
          <w14:textFill>
            <w14:solidFill>
              <w14:schemeClr w14:val="tx1"/>
            </w14:solidFill>
          </w14:textFill>
        </w:rPr>
      </w:pPr>
      <w:bookmarkStart w:id="110" w:name="_Toc69739739"/>
      <w:r>
        <w:rPr>
          <w:rFonts w:eastAsia="仿宋"/>
          <w:color w:val="000000" w:themeColor="text1"/>
          <w14:textFill>
            <w14:solidFill>
              <w14:schemeClr w14:val="tx1"/>
            </w14:solidFill>
          </w14:textFill>
        </w:rPr>
        <w:t>3.5.3 外部救援队伍</w:t>
      </w:r>
      <w:bookmarkEnd w:id="110"/>
    </w:p>
    <w:p>
      <w:pPr>
        <w:ind w:firstLine="560"/>
        <w:rPr>
          <w:color w:val="000000" w:themeColor="text1"/>
          <w14:textFill>
            <w14:solidFill>
              <w14:schemeClr w14:val="tx1"/>
            </w14:solidFill>
          </w14:textFill>
        </w:rPr>
      </w:pPr>
      <w:r>
        <w:rPr>
          <w:color w:val="000000" w:themeColor="text1"/>
          <w14:textFill>
            <w14:solidFill>
              <w14:schemeClr w14:val="tx1"/>
            </w14:solidFill>
          </w14:textFill>
        </w:rPr>
        <w:t>发生突发环境事件时，由于自身能力和条件的限制需要请求有关政府或社会机构进行救援，外部救援机构信息见表3-14。</w:t>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表3-14  外部救援人员通讯录</w:t>
      </w:r>
      <w:bookmarkStart w:id="111" w:name="_Toc425360977"/>
      <w:bookmarkEnd w:id="111"/>
    </w:p>
    <w:tbl>
      <w:tblPr>
        <w:tblStyle w:val="22"/>
        <w:tblW w:w="5110" w:type="pct"/>
        <w:tblInd w:w="11"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0" w:type="dxa"/>
          <w:bottom w:w="0" w:type="dxa"/>
          <w:right w:w="0" w:type="dxa"/>
        </w:tblCellMar>
      </w:tblPr>
      <w:tblGrid>
        <w:gridCol w:w="1597"/>
        <w:gridCol w:w="4091"/>
        <w:gridCol w:w="325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1593" w:type="dxa"/>
            <w:vAlign w:val="center"/>
          </w:tcPr>
          <w:p>
            <w:pPr>
              <w:pStyle w:val="56"/>
              <w:ind w:firstLine="56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序号</w:t>
            </w:r>
          </w:p>
        </w:tc>
        <w:tc>
          <w:tcPr>
            <w:tcW w:w="4082" w:type="dxa"/>
            <w:vAlign w:val="center"/>
          </w:tcPr>
          <w:p>
            <w:pPr>
              <w:pStyle w:val="56"/>
              <w:ind w:firstLine="56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单位名称</w:t>
            </w:r>
          </w:p>
        </w:tc>
        <w:tc>
          <w:tcPr>
            <w:tcW w:w="3249" w:type="dxa"/>
            <w:vAlign w:val="center"/>
          </w:tcPr>
          <w:p>
            <w:pPr>
              <w:pStyle w:val="56"/>
              <w:ind w:firstLine="56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联系电话</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23" w:hRule="atLeast"/>
        </w:trPr>
        <w:tc>
          <w:tcPr>
            <w:tcW w:w="8924" w:type="dxa"/>
            <w:gridSpan w:val="3"/>
            <w:vAlign w:val="center"/>
          </w:tcPr>
          <w:p>
            <w:pPr>
              <w:pStyle w:val="56"/>
              <w:ind w:firstLine="560"/>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环保：12369；医疗救护：120；火警：119；交通事故：122；报警：110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ascii="Times New Roman" w:hAnsi="Times New Roman" w:eastAsia="仿宋" w:cs="Times New Roman"/>
                <w:b w:val="0"/>
                <w:kern w:val="2"/>
                <w:sz w:val="21"/>
                <w:szCs w:val="21"/>
                <w:lang w:val="en-US" w:eastAsia="zh-CN" w:bidi="ar-SA"/>
              </w:rPr>
            </w:pPr>
            <w:r>
              <w:rPr>
                <w:sz w:val="21"/>
                <w:szCs w:val="21"/>
              </w:rPr>
              <w:t>1</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陕西交控集团总值班室</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029-87832666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ascii="Times New Roman" w:hAnsi="Times New Roman" w:eastAsia="仿宋" w:cs="Times New Roman"/>
                <w:b w:val="0"/>
                <w:kern w:val="2"/>
                <w:sz w:val="21"/>
                <w:szCs w:val="21"/>
                <w:lang w:val="en-US" w:eastAsia="zh-CN" w:bidi="ar-SA"/>
              </w:rPr>
            </w:pPr>
            <w:r>
              <w:rPr>
                <w:sz w:val="21"/>
                <w:szCs w:val="21"/>
              </w:rPr>
              <w:t>2</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陕西省政府值班室</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029-87292341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ascii="Times New Roman" w:hAnsi="Times New Roman" w:eastAsia="仿宋" w:cs="Times New Roman"/>
                <w:b w:val="0"/>
                <w:kern w:val="2"/>
                <w:sz w:val="21"/>
                <w:szCs w:val="21"/>
                <w:lang w:val="en-US" w:eastAsia="zh-CN" w:bidi="ar-SA"/>
              </w:rPr>
            </w:pPr>
            <w:r>
              <w:rPr>
                <w:sz w:val="21"/>
                <w:szCs w:val="21"/>
              </w:rPr>
              <w:t>3</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陕西省交通运输厅</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029-88869099</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ascii="Times New Roman" w:hAnsi="Times New Roman" w:eastAsia="仿宋" w:cs="Times New Roman"/>
                <w:b w:val="0"/>
                <w:kern w:val="2"/>
                <w:sz w:val="21"/>
                <w:szCs w:val="21"/>
                <w:lang w:val="en-US" w:eastAsia="zh-CN" w:bidi="ar-SA"/>
              </w:rPr>
            </w:pPr>
            <w:r>
              <w:rPr>
                <w:rFonts w:hint="eastAsia"/>
                <w:sz w:val="21"/>
                <w:szCs w:val="21"/>
              </w:rPr>
              <w:t>4</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陕西省应急厅</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029-63916130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ascii="Times New Roman" w:hAnsi="Times New Roman" w:eastAsia="仿宋" w:cs="Times New Roman"/>
                <w:b w:val="0"/>
                <w:kern w:val="2"/>
                <w:sz w:val="21"/>
                <w:szCs w:val="21"/>
                <w:lang w:val="en-US" w:eastAsia="zh-CN" w:bidi="ar-SA"/>
              </w:rPr>
            </w:pPr>
            <w:r>
              <w:rPr>
                <w:rFonts w:hint="eastAsia"/>
                <w:sz w:val="21"/>
                <w:szCs w:val="21"/>
              </w:rPr>
              <w:t>5</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陕西省公安厅</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029-86166850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6</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陕西省</w:t>
            </w:r>
            <w:r>
              <w:rPr>
                <w:rFonts w:hint="eastAsia" w:cs="Times New Roman"/>
                <w:b w:val="0"/>
                <w:bCs/>
                <w:color w:val="auto"/>
                <w:kern w:val="2"/>
                <w:sz w:val="21"/>
                <w:szCs w:val="21"/>
                <w:lang w:val="en-US" w:eastAsia="zh-CN" w:bidi="ar-SA"/>
              </w:rPr>
              <w:t>生态环境厅</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029-87342983</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7</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陕西省自然资源厅</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029-84333066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8</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陕西省气象局</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029-81619287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9</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陕西省公路局</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029-88408404</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10</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陕西省交警总队</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029-87680110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11</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cs="Times New Roman"/>
                <w:b w:val="0"/>
                <w:bCs/>
                <w:color w:val="auto"/>
                <w:kern w:val="2"/>
                <w:sz w:val="21"/>
                <w:szCs w:val="21"/>
                <w:lang w:val="en-US" w:eastAsia="zh-CN" w:bidi="ar-SA"/>
              </w:rPr>
              <w:t>陕西省环境监测站</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029-89551106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12</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西安市应急管理局</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000000"/>
                <w:kern w:val="0"/>
                <w:sz w:val="21"/>
                <w:szCs w:val="21"/>
                <w:lang w:val="en-US" w:eastAsia="zh-CN" w:bidi="ar-SA"/>
              </w:rPr>
            </w:pPr>
            <w:r>
              <w:rPr>
                <w:rFonts w:hint="eastAsia"/>
                <w:b w:val="0"/>
                <w:bCs/>
                <w:color w:val="000000"/>
                <w:kern w:val="0"/>
                <w:sz w:val="21"/>
                <w:szCs w:val="21"/>
              </w:rPr>
              <w:t>029-86513232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13</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西安市气象局</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029-86251046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14</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西安市交通局</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029-86787321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15</w:t>
            </w:r>
          </w:p>
        </w:tc>
        <w:tc>
          <w:tcPr>
            <w:tcW w:w="4082" w:type="dxa"/>
            <w:vAlign w:val="center"/>
          </w:tcPr>
          <w:p>
            <w:pPr>
              <w:pStyle w:val="56"/>
              <w:jc w:val="center"/>
              <w:rPr>
                <w:rFonts w:hint="eastAsia" w:ascii="Times New Roman" w:hAnsi="Times New Roman" w:eastAsia="仿宋" w:cs="Times New Roman"/>
                <w:b w:val="0"/>
                <w:bCs/>
                <w:color w:val="auto"/>
                <w:kern w:val="2"/>
                <w:sz w:val="21"/>
                <w:szCs w:val="21"/>
                <w:lang w:val="en-US" w:eastAsia="zh-CN" w:bidi="ar-SA"/>
              </w:rPr>
            </w:pPr>
            <w:r>
              <w:rPr>
                <w:rFonts w:hint="eastAsia"/>
                <w:color w:val="000000"/>
                <w:kern w:val="0"/>
                <w:sz w:val="21"/>
                <w:szCs w:val="21"/>
                <w:lang w:eastAsia="zh-CN"/>
              </w:rPr>
              <w:t>西安</w:t>
            </w:r>
            <w:r>
              <w:rPr>
                <w:color w:val="000000"/>
                <w:kern w:val="0"/>
                <w:sz w:val="21"/>
                <w:szCs w:val="21"/>
              </w:rPr>
              <w:t>市生态环境局</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ascii="Times New Roman" w:hAnsi="Times New Roman" w:eastAsia="宋体" w:cs="Times New Roman"/>
                <w:b w:val="0"/>
                <w:bCs/>
                <w:color w:val="000000"/>
                <w:kern w:val="0"/>
                <w:sz w:val="21"/>
                <w:szCs w:val="21"/>
                <w:lang w:val="en-US" w:eastAsia="zh-CN" w:bidi="ar-SA"/>
              </w:rPr>
            </w:pPr>
            <w:r>
              <w:rPr>
                <w:rFonts w:hint="eastAsia" w:ascii="Times New Roman" w:hAnsi="Times New Roman" w:cs="Times New Roman"/>
                <w:b w:val="0"/>
                <w:bCs/>
                <w:color w:val="000000"/>
                <w:kern w:val="0"/>
                <w:sz w:val="21"/>
                <w:szCs w:val="21"/>
                <w:lang w:val="en-US" w:eastAsia="zh-CN"/>
              </w:rPr>
              <w:t>029-88401137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default" w:ascii="Times New Roman" w:hAnsi="Times New Roman" w:eastAsia="仿宋" w:cs="Times New Roman"/>
                <w:b w:val="0"/>
                <w:kern w:val="2"/>
                <w:sz w:val="21"/>
                <w:szCs w:val="21"/>
                <w:lang w:val="en-US" w:eastAsia="zh-CN" w:bidi="ar-SA"/>
              </w:rPr>
            </w:pPr>
            <w:r>
              <w:rPr>
                <w:rFonts w:hint="eastAsia"/>
                <w:sz w:val="21"/>
                <w:szCs w:val="21"/>
              </w:rPr>
              <w:t>16</w:t>
            </w:r>
          </w:p>
        </w:tc>
        <w:tc>
          <w:tcPr>
            <w:tcW w:w="4082" w:type="dxa"/>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color w:val="auto"/>
                <w:kern w:val="2"/>
                <w:sz w:val="21"/>
                <w:szCs w:val="21"/>
                <w:lang w:val="en-US" w:eastAsia="zh-CN" w:bidi="ar-SA"/>
              </w:rPr>
            </w:pPr>
            <w:r>
              <w:rPr>
                <w:rFonts w:hint="eastAsia" w:ascii="Times New Roman" w:hAnsi="Times New Roman" w:eastAsia="仿宋" w:cs="Times New Roman"/>
                <w:color w:val="auto"/>
                <w:sz w:val="21"/>
                <w:szCs w:val="21"/>
                <w:lang w:eastAsia="zh-CN"/>
              </w:rPr>
              <w:t>西安</w:t>
            </w:r>
            <w:r>
              <w:rPr>
                <w:rFonts w:ascii="Times New Roman" w:hAnsi="Times New Roman" w:eastAsia="仿宋" w:cs="Times New Roman"/>
                <w:color w:val="auto"/>
                <w:sz w:val="21"/>
                <w:szCs w:val="21"/>
              </w:rPr>
              <w:t>市生态环境局</w:t>
            </w:r>
            <w:r>
              <w:rPr>
                <w:rFonts w:hint="eastAsia" w:ascii="Times New Roman" w:hAnsi="Times New Roman" w:eastAsia="仿宋" w:cs="Times New Roman"/>
                <w:color w:val="auto"/>
                <w:sz w:val="21"/>
                <w:szCs w:val="21"/>
                <w:lang w:eastAsia="zh-CN"/>
              </w:rPr>
              <w:t>灞桥</w:t>
            </w:r>
            <w:r>
              <w:rPr>
                <w:rFonts w:ascii="Times New Roman" w:hAnsi="Times New Roman" w:eastAsia="仿宋" w:cs="Times New Roman"/>
                <w:color w:val="auto"/>
                <w:sz w:val="21"/>
                <w:szCs w:val="21"/>
              </w:rPr>
              <w:t>分局</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kern w:val="2"/>
                <w:sz w:val="21"/>
                <w:szCs w:val="21"/>
                <w:lang w:val="en-US" w:eastAsia="zh-CN" w:bidi="ar-SA"/>
              </w:rPr>
            </w:pPr>
            <w:r>
              <w:rPr>
                <w:rFonts w:hint="eastAsia" w:ascii="Times New Roman" w:hAnsi="Times New Roman" w:cs="Times New Roman"/>
                <w:b w:val="0"/>
                <w:bCs/>
                <w:color w:val="000000"/>
                <w:kern w:val="0"/>
                <w:sz w:val="21"/>
                <w:szCs w:val="21"/>
                <w:lang w:val="en-US" w:eastAsia="zh-CN"/>
              </w:rPr>
              <w:t>029-83542770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lang w:val="en-US" w:eastAsia="zh-CN"/>
              </w:rPr>
              <w:t>17</w:t>
            </w:r>
          </w:p>
        </w:tc>
        <w:tc>
          <w:tcPr>
            <w:tcW w:w="4082" w:type="dxa"/>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color w:val="auto"/>
                <w:kern w:val="2"/>
                <w:sz w:val="21"/>
                <w:szCs w:val="21"/>
                <w:lang w:val="en-US" w:eastAsia="zh-CN" w:bidi="ar-SA"/>
              </w:rPr>
            </w:pPr>
            <w:r>
              <w:rPr>
                <w:rFonts w:hint="eastAsia" w:ascii="Times New Roman" w:hAnsi="Times New Roman" w:eastAsia="仿宋" w:cs="Times New Roman"/>
                <w:color w:val="auto"/>
                <w:sz w:val="21"/>
                <w:szCs w:val="21"/>
                <w:lang w:eastAsia="zh-CN"/>
              </w:rPr>
              <w:t>西安</w:t>
            </w:r>
            <w:r>
              <w:rPr>
                <w:rFonts w:ascii="Times New Roman" w:hAnsi="Times New Roman" w:eastAsia="仿宋" w:cs="Times New Roman"/>
                <w:color w:val="auto"/>
                <w:sz w:val="21"/>
                <w:szCs w:val="21"/>
              </w:rPr>
              <w:t>市生态环境局</w:t>
            </w:r>
            <w:r>
              <w:rPr>
                <w:rFonts w:hint="eastAsia" w:ascii="Times New Roman" w:hAnsi="Times New Roman" w:eastAsia="仿宋" w:cs="Times New Roman"/>
                <w:color w:val="auto"/>
                <w:sz w:val="21"/>
                <w:szCs w:val="21"/>
                <w:lang w:eastAsia="zh-CN"/>
              </w:rPr>
              <w:t>雁塔</w:t>
            </w:r>
            <w:r>
              <w:rPr>
                <w:rFonts w:ascii="Times New Roman" w:hAnsi="Times New Roman" w:eastAsia="仿宋" w:cs="Times New Roman"/>
                <w:color w:val="auto"/>
                <w:sz w:val="21"/>
                <w:szCs w:val="21"/>
              </w:rPr>
              <w:t>分局</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000000"/>
                <w:kern w:val="0"/>
                <w:sz w:val="21"/>
                <w:szCs w:val="21"/>
                <w:lang w:val="en-US" w:eastAsia="zh-CN" w:bidi="ar-SA"/>
              </w:rPr>
            </w:pPr>
            <w:r>
              <w:rPr>
                <w:rFonts w:hint="eastAsia" w:ascii="Times New Roman" w:hAnsi="Times New Roman" w:cs="Times New Roman"/>
                <w:b w:val="0"/>
                <w:bCs/>
                <w:color w:val="000000"/>
                <w:kern w:val="0"/>
                <w:sz w:val="21"/>
                <w:szCs w:val="21"/>
                <w:lang w:val="en-US" w:eastAsia="zh-CN"/>
              </w:rPr>
              <w:t>029-85458821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18</w:t>
            </w:r>
          </w:p>
        </w:tc>
        <w:tc>
          <w:tcPr>
            <w:tcW w:w="4082" w:type="dxa"/>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color w:val="auto"/>
                <w:kern w:val="2"/>
                <w:sz w:val="21"/>
                <w:szCs w:val="21"/>
                <w:lang w:val="en-US" w:eastAsia="zh-CN" w:bidi="ar-SA"/>
              </w:rPr>
            </w:pPr>
            <w:r>
              <w:rPr>
                <w:rFonts w:hint="eastAsia" w:cs="Times New Roman"/>
                <w:color w:val="auto"/>
                <w:sz w:val="21"/>
                <w:szCs w:val="21"/>
                <w:lang w:val="en-US" w:eastAsia="zh-CN"/>
              </w:rPr>
              <w:t>西安市生态环境局西咸新区分局</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000000"/>
                <w:kern w:val="0"/>
                <w:sz w:val="21"/>
                <w:szCs w:val="21"/>
                <w:lang w:val="en-US" w:eastAsia="zh-CN" w:bidi="ar-SA"/>
              </w:rPr>
            </w:pPr>
            <w:r>
              <w:rPr>
                <w:rFonts w:hint="eastAsia" w:ascii="Times New Roman" w:hAnsi="Times New Roman" w:cs="Times New Roman"/>
                <w:b w:val="0"/>
                <w:bCs/>
                <w:color w:val="000000"/>
                <w:kern w:val="0"/>
                <w:sz w:val="21"/>
                <w:szCs w:val="21"/>
                <w:lang w:val="en-US" w:eastAsia="zh-CN"/>
              </w:rPr>
              <w:t>029-33138512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19</w:t>
            </w:r>
          </w:p>
        </w:tc>
        <w:tc>
          <w:tcPr>
            <w:tcW w:w="4082" w:type="dxa"/>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color w:val="auto"/>
                <w:kern w:val="2"/>
                <w:sz w:val="21"/>
                <w:szCs w:val="21"/>
                <w:lang w:val="en-US" w:eastAsia="zh-CN" w:bidi="ar-SA"/>
              </w:rPr>
            </w:pPr>
            <w:r>
              <w:rPr>
                <w:rFonts w:hint="eastAsia" w:ascii="Times New Roman" w:hAnsi="Times New Roman" w:eastAsia="仿宋" w:cs="Times New Roman"/>
                <w:color w:val="auto"/>
                <w:sz w:val="21"/>
                <w:szCs w:val="21"/>
                <w:lang w:val="en-US" w:eastAsia="zh-CN"/>
              </w:rPr>
              <w:t>西咸新区生态环境局</w:t>
            </w:r>
            <w:r>
              <w:rPr>
                <w:rFonts w:hint="eastAsia" w:cs="Times New Roman"/>
                <w:color w:val="auto"/>
                <w:sz w:val="21"/>
                <w:szCs w:val="21"/>
                <w:lang w:val="en-US" w:eastAsia="zh-CN"/>
              </w:rPr>
              <w:t>（沣东）工作部</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default" w:ascii="Times New Roman" w:hAnsi="Times New Roman" w:eastAsia="仿宋" w:cs="Times New Roman"/>
                <w:b w:val="0"/>
                <w:bCs/>
                <w:color w:val="000000"/>
                <w:kern w:val="0"/>
                <w:sz w:val="21"/>
                <w:szCs w:val="21"/>
                <w:lang w:val="en-US" w:eastAsia="zh-CN" w:bidi="ar-SA"/>
              </w:rPr>
            </w:pPr>
            <w:r>
              <w:rPr>
                <w:rFonts w:hint="eastAsia" w:ascii="Times New Roman" w:hAnsi="Times New Roman" w:cs="Times New Roman"/>
                <w:b w:val="0"/>
                <w:bCs/>
                <w:color w:val="000000"/>
                <w:kern w:val="0"/>
                <w:sz w:val="21"/>
                <w:szCs w:val="21"/>
                <w:lang w:val="en-US" w:eastAsia="zh-CN"/>
              </w:rPr>
              <w:t>029-89</w:t>
            </w:r>
            <w:r>
              <w:rPr>
                <w:rFonts w:hint="eastAsia" w:cs="Times New Roman"/>
                <w:b w:val="0"/>
                <w:bCs/>
                <w:color w:val="000000"/>
                <w:kern w:val="0"/>
                <w:sz w:val="21"/>
                <w:szCs w:val="21"/>
                <w:lang w:val="en-US" w:eastAsia="zh-CN"/>
              </w:rPr>
              <w:t>108524</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20</w:t>
            </w:r>
          </w:p>
        </w:tc>
        <w:tc>
          <w:tcPr>
            <w:tcW w:w="4082" w:type="dxa"/>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color w:val="auto"/>
                <w:kern w:val="2"/>
                <w:sz w:val="21"/>
                <w:szCs w:val="21"/>
                <w:lang w:val="en-US" w:eastAsia="zh-CN" w:bidi="ar-SA"/>
              </w:rPr>
            </w:pPr>
            <w:r>
              <w:rPr>
                <w:rFonts w:hint="eastAsia" w:ascii="Times New Roman" w:hAnsi="Times New Roman" w:eastAsia="仿宋" w:cs="Times New Roman"/>
                <w:color w:val="auto"/>
                <w:sz w:val="21"/>
                <w:szCs w:val="21"/>
                <w:lang w:val="en-US" w:eastAsia="zh-CN"/>
              </w:rPr>
              <w:t>西咸新区生态环境局</w:t>
            </w:r>
            <w:r>
              <w:rPr>
                <w:rFonts w:hint="eastAsia" w:cs="Times New Roman"/>
                <w:color w:val="auto"/>
                <w:sz w:val="21"/>
                <w:szCs w:val="21"/>
                <w:lang w:val="en-US" w:eastAsia="zh-CN"/>
              </w:rPr>
              <w:t>（秦汉）工作部</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000000"/>
                <w:kern w:val="0"/>
                <w:sz w:val="21"/>
                <w:szCs w:val="21"/>
                <w:lang w:val="en-US" w:eastAsia="zh-CN" w:bidi="ar-SA"/>
              </w:rPr>
            </w:pPr>
            <w:r>
              <w:rPr>
                <w:rFonts w:hint="eastAsia" w:ascii="Times New Roman" w:hAnsi="Times New Roman" w:cs="Times New Roman"/>
                <w:b w:val="0"/>
                <w:bCs/>
                <w:color w:val="000000"/>
                <w:kern w:val="0"/>
                <w:sz w:val="21"/>
                <w:szCs w:val="21"/>
                <w:lang w:val="en-US" w:eastAsia="zh-CN"/>
              </w:rPr>
              <w:t>029-331850</w:t>
            </w:r>
            <w:r>
              <w:rPr>
                <w:rFonts w:hint="eastAsia" w:cs="Times New Roman"/>
                <w:b w:val="0"/>
                <w:bCs/>
                <w:color w:val="000000"/>
                <w:kern w:val="0"/>
                <w:sz w:val="21"/>
                <w:szCs w:val="21"/>
                <w:lang w:val="en-US" w:eastAsia="zh-CN"/>
              </w:rPr>
              <w:t>3</w:t>
            </w:r>
            <w:r>
              <w:rPr>
                <w:rFonts w:hint="eastAsia" w:ascii="Times New Roman" w:hAnsi="Times New Roman" w:cs="Times New Roman"/>
                <w:b w:val="0"/>
                <w:bCs/>
                <w:color w:val="000000"/>
                <w:kern w:val="0"/>
                <w:sz w:val="21"/>
                <w:szCs w:val="21"/>
                <w:lang w:val="en-US" w:eastAsia="zh-CN"/>
              </w:rPr>
              <w:t>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21</w:t>
            </w:r>
          </w:p>
        </w:tc>
        <w:tc>
          <w:tcPr>
            <w:tcW w:w="4082" w:type="dxa"/>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color w:val="auto"/>
                <w:kern w:val="2"/>
                <w:sz w:val="21"/>
                <w:szCs w:val="21"/>
                <w:lang w:val="en-US" w:eastAsia="zh-CN" w:bidi="ar-SA"/>
              </w:rPr>
            </w:pPr>
            <w:r>
              <w:rPr>
                <w:rFonts w:hint="eastAsia" w:ascii="Times New Roman" w:hAnsi="Times New Roman" w:eastAsia="仿宋" w:cs="Times New Roman"/>
                <w:color w:val="auto"/>
                <w:sz w:val="21"/>
                <w:szCs w:val="21"/>
                <w:lang w:val="en-US" w:eastAsia="zh-CN"/>
              </w:rPr>
              <w:t>西安市应急管理局</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000000"/>
                <w:kern w:val="0"/>
                <w:sz w:val="21"/>
                <w:szCs w:val="21"/>
                <w:lang w:val="en-US" w:eastAsia="zh-CN" w:bidi="ar-SA"/>
              </w:rPr>
            </w:pPr>
            <w:r>
              <w:rPr>
                <w:rFonts w:hint="eastAsia" w:ascii="Times New Roman" w:hAnsi="Times New Roman" w:cs="Times New Roman"/>
                <w:b w:val="0"/>
                <w:bCs/>
                <w:color w:val="000000"/>
                <w:kern w:val="0"/>
                <w:sz w:val="21"/>
                <w:szCs w:val="21"/>
                <w:lang w:val="en-US" w:eastAsia="zh-CN"/>
              </w:rPr>
              <w:t>029-86783058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22</w:t>
            </w:r>
          </w:p>
        </w:tc>
        <w:tc>
          <w:tcPr>
            <w:tcW w:w="4082" w:type="dxa"/>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color w:val="auto"/>
                <w:kern w:val="2"/>
                <w:sz w:val="21"/>
                <w:szCs w:val="21"/>
                <w:lang w:val="en-US" w:eastAsia="zh-CN" w:bidi="ar-SA"/>
              </w:rPr>
            </w:pPr>
            <w:r>
              <w:rPr>
                <w:rFonts w:hint="eastAsia" w:ascii="Times New Roman" w:hAnsi="Times New Roman" w:eastAsia="仿宋" w:cs="Times New Roman"/>
                <w:color w:val="auto"/>
                <w:sz w:val="21"/>
                <w:szCs w:val="21"/>
                <w:lang w:val="en-US" w:eastAsia="zh-CN"/>
              </w:rPr>
              <w:t>西安市公安局交通警察支队</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b w:val="0"/>
                <w:bCs/>
                <w:color w:val="000000"/>
                <w:kern w:val="0"/>
                <w:sz w:val="21"/>
                <w:szCs w:val="21"/>
                <w:lang w:val="en-US" w:eastAsia="zh-CN" w:bidi="ar-SA"/>
              </w:rPr>
            </w:pPr>
            <w:r>
              <w:rPr>
                <w:rFonts w:hint="eastAsia"/>
                <w:b w:val="0"/>
                <w:bCs/>
                <w:color w:val="000000"/>
                <w:kern w:val="0"/>
                <w:sz w:val="21"/>
                <w:szCs w:val="21"/>
              </w:rPr>
              <w:t>029-86755238</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23</w:t>
            </w:r>
          </w:p>
        </w:tc>
        <w:tc>
          <w:tcPr>
            <w:tcW w:w="4082" w:type="dxa"/>
            <w:vAlign w:val="center"/>
          </w:tcPr>
          <w:p>
            <w:pPr>
              <w:keepNext w:val="0"/>
              <w:keepLines w:val="0"/>
              <w:pageBreakBefore w:val="0"/>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仿宋" w:cs="Times New Roman"/>
                <w:color w:val="auto"/>
                <w:kern w:val="2"/>
                <w:sz w:val="21"/>
                <w:szCs w:val="21"/>
                <w:lang w:val="en-US" w:eastAsia="zh-CN" w:bidi="ar-SA"/>
              </w:rPr>
            </w:pPr>
            <w:r>
              <w:rPr>
                <w:rFonts w:hint="eastAsia" w:ascii="Times New Roman" w:hAnsi="Times New Roman" w:eastAsia="仿宋" w:cs="Times New Roman"/>
                <w:color w:val="auto"/>
                <w:sz w:val="21"/>
                <w:szCs w:val="21"/>
                <w:lang w:val="en-US" w:eastAsia="zh-CN"/>
              </w:rPr>
              <w:t>西安市环境监测站</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textAlignment w:val="auto"/>
              <w:rPr>
                <w:rFonts w:hint="eastAsia"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029-85910101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rPr>
              <w:t>24</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cs="Times New Roman"/>
                <w:b w:val="0"/>
                <w:bCs/>
                <w:color w:val="auto"/>
                <w:kern w:val="2"/>
                <w:sz w:val="21"/>
                <w:szCs w:val="21"/>
                <w:lang w:val="en-US" w:eastAsia="zh-CN" w:bidi="ar-SA"/>
              </w:rPr>
              <w:t>咸阳</w:t>
            </w:r>
            <w:r>
              <w:rPr>
                <w:rFonts w:hint="eastAsia" w:ascii="Times New Roman" w:hAnsi="Times New Roman" w:eastAsia="仿宋" w:cs="Times New Roman"/>
                <w:b w:val="0"/>
                <w:bCs/>
                <w:color w:val="auto"/>
                <w:kern w:val="2"/>
                <w:sz w:val="21"/>
                <w:szCs w:val="21"/>
                <w:lang w:val="en-US" w:eastAsia="zh-CN" w:bidi="ar-SA"/>
              </w:rPr>
              <w:t>市环境监测站</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宋体" w:cs="Times New Roman"/>
                <w:b w:val="0"/>
                <w:bCs/>
                <w:color w:val="000000"/>
                <w:kern w:val="0"/>
                <w:sz w:val="21"/>
                <w:szCs w:val="21"/>
                <w:lang w:val="en-US" w:eastAsia="zh-CN" w:bidi="ar-SA"/>
              </w:rPr>
            </w:pPr>
            <w:r>
              <w:rPr>
                <w:rFonts w:hint="default" w:ascii="Times New Roman" w:hAnsi="Times New Roman" w:eastAsia="宋体" w:cs="Times New Roman"/>
                <w:b w:val="0"/>
                <w:bCs/>
                <w:color w:val="000000"/>
                <w:kern w:val="0"/>
                <w:sz w:val="21"/>
                <w:szCs w:val="21"/>
                <w:lang w:val="en-US" w:eastAsia="zh-CN" w:bidi="ar-SA"/>
              </w:rPr>
              <w:t>029-32036584</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lang w:val="en-US" w:eastAsia="zh-CN"/>
              </w:rPr>
              <w:t>25</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eastAsia="仿宋" w:cs="Times New Roman"/>
                <w:b w:val="0"/>
                <w:bCs/>
                <w:color w:val="auto"/>
                <w:kern w:val="2"/>
                <w:sz w:val="21"/>
                <w:szCs w:val="21"/>
                <w:lang w:val="en-US" w:eastAsia="zh-CN" w:bidi="ar-SA"/>
              </w:rPr>
              <w:t>陕西省人民医院</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宋体" w:cs="Times New Roman"/>
                <w:b w:val="0"/>
                <w:bCs/>
                <w:color w:val="000000"/>
                <w:kern w:val="0"/>
                <w:sz w:val="21"/>
                <w:szCs w:val="21"/>
                <w:lang w:val="en-US" w:eastAsia="zh-CN" w:bidi="ar-SA"/>
              </w:rPr>
            </w:pPr>
            <w:r>
              <w:rPr>
                <w:rFonts w:hint="eastAsia"/>
                <w:b w:val="0"/>
                <w:bCs/>
                <w:color w:val="000000"/>
                <w:kern w:val="0"/>
                <w:sz w:val="21"/>
                <w:szCs w:val="21"/>
              </w:rPr>
              <w:t>029-85251331</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97" w:hRule="atLeast"/>
        </w:trPr>
        <w:tc>
          <w:tcPr>
            <w:tcW w:w="1593" w:type="dxa"/>
            <w:vAlign w:val="center"/>
          </w:tcPr>
          <w:p>
            <w:pPr>
              <w:pStyle w:val="56"/>
              <w:jc w:val="center"/>
              <w:rPr>
                <w:rFonts w:hint="eastAsia" w:ascii="Times New Roman" w:hAnsi="Times New Roman" w:eastAsia="仿宋" w:cs="Times New Roman"/>
                <w:b w:val="0"/>
                <w:kern w:val="2"/>
                <w:sz w:val="21"/>
                <w:szCs w:val="21"/>
                <w:lang w:val="en-US" w:eastAsia="zh-CN" w:bidi="ar-SA"/>
              </w:rPr>
            </w:pPr>
            <w:r>
              <w:rPr>
                <w:rFonts w:hint="eastAsia"/>
                <w:sz w:val="21"/>
                <w:szCs w:val="21"/>
                <w:lang w:val="en-US" w:eastAsia="zh-CN"/>
              </w:rPr>
              <w:t>26</w:t>
            </w:r>
          </w:p>
        </w:tc>
        <w:tc>
          <w:tcPr>
            <w:tcW w:w="4082"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仿宋" w:cs="Times New Roman"/>
                <w:b w:val="0"/>
                <w:bCs/>
                <w:color w:val="auto"/>
                <w:kern w:val="2"/>
                <w:sz w:val="21"/>
                <w:szCs w:val="21"/>
                <w:lang w:val="en-US" w:eastAsia="zh-CN" w:bidi="ar-SA"/>
              </w:rPr>
            </w:pPr>
            <w:r>
              <w:rPr>
                <w:rFonts w:hint="eastAsia" w:ascii="Times New Roman" w:hAnsi="Times New Roman" w:cs="Times New Roman"/>
                <w:b w:val="0"/>
                <w:bCs/>
                <w:color w:val="auto"/>
                <w:kern w:val="2"/>
                <w:sz w:val="21"/>
                <w:szCs w:val="21"/>
                <w:lang w:val="en-US" w:eastAsia="zh-CN" w:bidi="ar-SA"/>
              </w:rPr>
              <w:t>西安市人民医院</w:t>
            </w:r>
          </w:p>
        </w:tc>
        <w:tc>
          <w:tcPr>
            <w:tcW w:w="3249" w:type="dxa"/>
            <w:vAlign w:val="center"/>
          </w:tcPr>
          <w:p>
            <w:pPr>
              <w:pStyle w:val="56"/>
              <w:keepNext w:val="0"/>
              <w:keepLines w:val="0"/>
              <w:pageBreakBefore w:val="0"/>
              <w:widowControl/>
              <w:kinsoku/>
              <w:wordWrap/>
              <w:overflowPunct/>
              <w:topLinePunct w:val="0"/>
              <w:autoSpaceDE/>
              <w:autoSpaceDN/>
              <w:bidi w:val="0"/>
              <w:adjustRightInd w:val="0"/>
              <w:snapToGrid w:val="0"/>
              <w:ind w:firstLine="0" w:firstLineChars="0"/>
              <w:jc w:val="center"/>
              <w:textAlignment w:val="auto"/>
              <w:rPr>
                <w:rFonts w:hint="eastAsia" w:ascii="Times New Roman" w:hAnsi="Times New Roman" w:eastAsia="宋体" w:cs="Times New Roman"/>
                <w:b w:val="0"/>
                <w:bCs/>
                <w:color w:val="000000"/>
                <w:kern w:val="0"/>
                <w:sz w:val="21"/>
                <w:szCs w:val="21"/>
                <w:lang w:val="en-US" w:eastAsia="zh-CN" w:bidi="ar-SA"/>
              </w:rPr>
            </w:pPr>
            <w:r>
              <w:rPr>
                <w:rFonts w:hint="default" w:ascii="Times New Roman" w:hAnsi="Times New Roman" w:eastAsia="宋体" w:cs="Times New Roman"/>
                <w:b w:val="0"/>
                <w:bCs/>
                <w:color w:val="000000"/>
                <w:kern w:val="0"/>
                <w:sz w:val="21"/>
                <w:szCs w:val="21"/>
                <w:lang w:val="en-US" w:eastAsia="zh-CN" w:bidi="ar-SA"/>
              </w:rPr>
              <w:t>029-61199088</w:t>
            </w:r>
          </w:p>
        </w:tc>
      </w:tr>
    </w:tbl>
    <w:p>
      <w:pPr>
        <w:widowControl/>
        <w:ind w:firstLine="0" w:firstLineChars="0"/>
        <w:jc w:val="left"/>
        <w:rPr>
          <w:b/>
          <w:bCs/>
          <w:color w:val="000000" w:themeColor="text1"/>
          <w:kern w:val="44"/>
          <w:szCs w:val="28"/>
          <w14:textFill>
            <w14:solidFill>
              <w14:schemeClr w14:val="tx1"/>
            </w14:solidFill>
          </w14:textFill>
        </w:rPr>
        <w:sectPr>
          <w:pgSz w:w="11907" w:h="16840"/>
          <w:pgMar w:top="1418" w:right="1588" w:bottom="1418" w:left="1588" w:header="720" w:footer="720" w:gutter="0"/>
          <w:cols w:space="720" w:num="1"/>
          <w:docGrid w:type="lines" w:linePitch="312" w:charSpace="0"/>
        </w:sectPr>
      </w:pPr>
    </w:p>
    <w:p>
      <w:pPr>
        <w:pStyle w:val="9"/>
        <w:rPr>
          <w:color w:val="000000" w:themeColor="text1"/>
          <w14:textFill>
            <w14:solidFill>
              <w14:schemeClr w14:val="tx1"/>
            </w14:solidFill>
          </w14:textFill>
        </w:rPr>
      </w:pPr>
      <w:bookmarkStart w:id="112" w:name="_Toc456279510"/>
      <w:bookmarkEnd w:id="112"/>
      <w:bookmarkStart w:id="113" w:name="_Toc461992054"/>
      <w:bookmarkEnd w:id="113"/>
      <w:bookmarkStart w:id="114" w:name="_Toc431402304"/>
      <w:bookmarkEnd w:id="114"/>
      <w:bookmarkStart w:id="115" w:name="_Toc47541603"/>
      <w:bookmarkEnd w:id="115"/>
      <w:bookmarkStart w:id="116" w:name="_Toc69739740"/>
      <w:bookmarkStart w:id="117" w:name="_Toc444845471"/>
      <w:bookmarkStart w:id="118" w:name="_Toc80973311"/>
      <w:r>
        <w:rPr>
          <w:color w:val="000000" w:themeColor="text1"/>
          <w14:textFill>
            <w14:solidFill>
              <w14:schemeClr w14:val="tx1"/>
            </w14:solidFill>
          </w14:textFill>
        </w:rPr>
        <w:t>4 突发环境事件及其后果分析</w:t>
      </w:r>
      <w:bookmarkEnd w:id="116"/>
      <w:bookmarkEnd w:id="117"/>
      <w:bookmarkEnd w:id="118"/>
    </w:p>
    <w:p>
      <w:pPr>
        <w:pStyle w:val="10"/>
        <w:ind w:firstLine="321"/>
        <w:rPr>
          <w:color w:val="000000" w:themeColor="text1"/>
          <w14:textFill>
            <w14:solidFill>
              <w14:schemeClr w14:val="tx1"/>
            </w14:solidFill>
          </w14:textFill>
        </w:rPr>
      </w:pPr>
      <w:bookmarkStart w:id="119" w:name="_Toc456279511"/>
      <w:bookmarkEnd w:id="119"/>
      <w:bookmarkStart w:id="120" w:name="_Toc47541604"/>
      <w:bookmarkEnd w:id="120"/>
      <w:bookmarkStart w:id="121" w:name="_Toc461992055"/>
      <w:bookmarkStart w:id="122" w:name="_Toc69739741"/>
      <w:bookmarkStart w:id="123" w:name="_Toc80973312"/>
      <w:r>
        <w:rPr>
          <w:color w:val="000000" w:themeColor="text1"/>
          <w14:textFill>
            <w14:solidFill>
              <w14:schemeClr w14:val="tx1"/>
            </w14:solidFill>
          </w14:textFill>
        </w:rPr>
        <w:t>4.1 企业突发环境事件情景分析</w:t>
      </w:r>
      <w:bookmarkEnd w:id="121"/>
      <w:bookmarkEnd w:id="122"/>
      <w:bookmarkEnd w:id="123"/>
    </w:p>
    <w:p>
      <w:pPr>
        <w:pStyle w:val="11"/>
        <w:ind w:firstLine="562"/>
        <w:rPr>
          <w:rFonts w:eastAsia="仿宋"/>
          <w:color w:val="000000" w:themeColor="text1"/>
          <w14:textFill>
            <w14:solidFill>
              <w14:schemeClr w14:val="tx1"/>
            </w14:solidFill>
          </w14:textFill>
        </w:rPr>
      </w:pPr>
      <w:bookmarkStart w:id="124" w:name="_Toc69739742"/>
      <w:r>
        <w:rPr>
          <w:rFonts w:eastAsia="仿宋"/>
          <w:color w:val="000000" w:themeColor="text1"/>
          <w14:textFill>
            <w14:solidFill>
              <w14:schemeClr w14:val="tx1"/>
            </w14:solidFill>
          </w14:textFill>
        </w:rPr>
        <w:t>4.1.1 国内外同类项目突发环境事件资料</w:t>
      </w:r>
      <w:bookmarkEnd w:id="124"/>
    </w:p>
    <w:p>
      <w:pPr>
        <w:ind w:firstLine="562"/>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（1）6·13温岭槽罐车爆炸事故</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2020年6月13日16时46分许，G15沈海高速浙江省台州市温岭市大溪镇良山村附近高速公路上发生槽罐车爆炸事故。爆炸车辆为牵引车牌号浙CM9535、挂车牌号浙CF138挂的液化气槽罐车，事发时运输液化气由宁波到温州瑞安，从高速公路出来走104国道时，在匝道发生爆炸冲出高速。</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事故救援过程：</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2020年6月13日16时46分，浙江台州市消防救援支队温岭大队接到报警后，台州9个消防站、8个专职消防队34辆消防车138名指战员赶赴现场处置。总队先后调派战勤保障分队，以及杭州、宁波、温州、金华、绍兴、机动支队地震救援重型搜救队和杭州搜救犬队共62车316名指战员和6条搜救犬赶赴现场增援，蔡卫国总队长率总队全勤指挥部遂行出动。</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2020年6月13日16时51分，大溪镇专职消防队首先到场，17时08分，温岭大队城西消防救援站到场，18时10分，台州消防救援支队全勤指挥部到场。</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2020年6月13日21时10分，浙江省消防救援总队全勤指挥部到场组织指挥救援工作。将现场划分为3个作业区，分别为A区（民房区）、B区（北侧厂房区）、C区（南侧厂房区），每个作业区均安排了2支以上建筑坍塌专业救援队，分组开展24小时不间断搜救，设置安全观察哨12处，实时监测和预防二次坍塌危险。</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截至2020年6月14日4时，现场救援共投入挖掘机等大型抢险机械设备30多台（套），出动各类救援车辆151辆，救援人员2662人。</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截至2020年6月15日，现场大规模搜救工作已基本结束，后续搜救及各项善后工作在有序进行中。</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医疗支援：</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截至2020年6月13日23时许，共有166名伤员在温岭市第一人民医院、温岭东方医院、台州中西医结合医院、台州骨伤医院、温岭中医院、台州市恩泽医院等当地6家医院进行救治。浙大二院急危重症、烧伤、呼吸团队在接到救治任务第一时间赶赴温岭市第一人民医院，牵头组织抢救。受浙江省卫健委指派，温医大附一院医疗队也赶赴温岭。医疗队包括神经外科、烧伤外科、重症监护室以及内科的10位医护专家。此外，温医大附一院已经在统计院内空床，做好接收伤员的准备。</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2020年6月13日，浙江省、温州市、台州市的专家在联合对伤员进行全力抢救。该次采取的是“一人一个方案”、“一人一个团队”治疗（伤者）的方案。为全力救治伤员，浙江省调集台州市、温州市，以及省一级专家赶赴温岭，组成专家组和救治小组，根据每个伤者的病情发展制定和调整治疗方案，全力、尽力地救治患者。</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2020年6月13日晚，浙江省卫生健康委已紧急抽调省市两级62名医疗专家增援温岭。其中，浙江大学医学院附属第二医院、温州医科大学附属第一医院、浙江大学医学院附属儿童医院抽调17名烧伤、重症、呼吸等学科领域专家；台州市抽调45名市级医疗专家。省市医疗专家到达温岭后，分成4组，包括1个重症监护组，2个病房组，1个儿童患者组，连夜对所有伤员逐一评估会诊，对危重症患者制定一对一治疗方案。</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2020年6月14日凌晨，浙江省卫生健康委又紧急部署抽调省立同德医院8名心理专家及台州4名心理专家赶赴当地救治医院，开展心理支持与干预工作。</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交通管制：截至2020年6月13日下午，G15沈海高速台州段因协助地方处理起火，温岭西、台州南、台州与临海南双向进口关闭，温向临海北与三门进口关闭，温向临海南与台州南出口准备实行分流；S28台金高速台向白水洋、临海西进口关闭，双向临海市区进口关闭，金向沿江、涌泉、章安与杜桥进口关闭，台向临海市区出口准备实行分流。</w:t>
      </w:r>
    </w:p>
    <w:p>
      <w:pPr>
        <w:ind w:firstLine="562"/>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（2）</w:t>
      </w:r>
      <w:r>
        <w:rPr>
          <w:b/>
          <w:bCs/>
          <w:color w:val="000000" w:themeColor="text1"/>
          <w14:textFill>
            <w14:solidFill>
              <w14:schemeClr w14:val="tx1"/>
            </w14:solidFill>
          </w14:textFill>
        </w:rPr>
        <w:t>交通事故引发危险化学品泄漏事故</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2012年7月11日，京哈高速公路沈阳方向289公里处，一辆满载家具的货车与前方同向行驶的一辆油罐容积65立方米、载有30吨汽油的油罐车发生追尾事故，造成油罐车罐体尾部主阀门弯曲，卸油阀脱落，并有大量汽油正在快速泄漏，已在地面形成长约100米、宽3米的流淌汽油层。</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事故救援过程</w:t>
      </w:r>
      <w:r>
        <w:rPr>
          <w:rFonts w:hint="eastAsia"/>
          <w:color w:val="000000" w:themeColor="text1"/>
          <w14:textFill>
            <w14:solidFill>
              <w14:schemeClr w14:val="tx1"/>
            </w14:solidFill>
          </w14:textFill>
        </w:rPr>
        <w:t>：</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7月11日23时31分，辖区红旗北路中队到达现场后，立即成立由一名干部、两名骨干组成的侦检小组，侦检小组着轻型防化服，佩戴空气呼吸器，携带可燃气体检测仪，经安检登记后进入事故现场，侦检现场内汽油蒸气浓度及其扩散范围，槽车损坏、泄漏部位等情况。经侦检发现，汽油槽车泄油阀因追尾造成脱落，泄漏处为直径10cm的不规则圆形缺口，到达现场时车主已用棉被对泄漏点进行了简单封堵，效果不明显，大量汽油正在快速泄漏，已在地面形成长约100m、宽3m的流淌汽油层，空气中的油蒸气含量已达到爆炸极限，一个火星就会引发巨大爆炸，造成难以估计的损失。中队立即以事故车辆为中心，划定500m的警戒区域，严格控制人员、车辆进入，禁绝一切火源，设定安全员和观察哨，明确紧急撤离信号。</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7月11日23时36分，红旗北路中队两支水枪对罐体周围及流淌油上方的油蒸气进行稀释防爆，出一支泡沫管枪对地面泄漏汽油进行全覆盖，堵漏小组在水枪掩护下对泄漏点进行前期处理，使其泄漏量减小。</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7月11日23时43分，王长忠政委带领全勤指挥部到达现场，辖区中队立即向王长忠政委汇报现场情况。支队迅速成立了以王长忠政委为总指挥、陈志勇参谋长为副总指挥，支队全勤指挥部人员为成员的前沿指挥部，前沿指挥部下设侦检、警戒、稀释掩护、堵漏、供水、观察和安全小组。</w:t>
      </w:r>
      <w:r>
        <w:rPr>
          <w:b/>
          <w:bCs/>
          <w:color w:val="000000" w:themeColor="text1"/>
          <w14:textFill>
            <w14:solidFill>
              <w14:schemeClr w14:val="tx1"/>
            </w14:solidFill>
          </w14:textFill>
        </w:rPr>
        <w:t>指挥部根据现场情况，迅速制定处置方案</w:t>
      </w:r>
      <w:r>
        <w:rPr>
          <w:color w:val="000000" w:themeColor="text1"/>
          <w14:textFill>
            <w14:solidFill>
              <w14:schemeClr w14:val="tx1"/>
            </w14:solidFill>
          </w14:textFill>
        </w:rPr>
        <w:t>：</w:t>
      </w:r>
      <w:r>
        <w:rPr>
          <w:b/>
          <w:bCs/>
          <w:color w:val="000000" w:themeColor="text1"/>
          <w14:textFill>
            <w14:solidFill>
              <w14:schemeClr w14:val="tx1"/>
            </w14:solidFill>
          </w14:textFill>
        </w:rPr>
        <w:t>一是稀释降毒，冷却抑爆。</w:t>
      </w:r>
      <w:r>
        <w:rPr>
          <w:color w:val="000000" w:themeColor="text1"/>
          <w14:textFill>
            <w14:solidFill>
              <w14:schemeClr w14:val="tx1"/>
            </w14:solidFill>
          </w14:textFill>
        </w:rPr>
        <w:t>对槽车及流淌油上方空气中的油蒸气使用喷雾水枪进行驱散，稀释空气中的油蒸气含量，对流淌的汽油进行泡沫覆盖，对事故车辆周围油蒸气含量实施全程检测，确保安全。</w:t>
      </w:r>
      <w:r>
        <w:rPr>
          <w:b/>
          <w:bCs/>
          <w:color w:val="000000" w:themeColor="text1"/>
          <w14:textFill>
            <w14:solidFill>
              <w14:schemeClr w14:val="tx1"/>
            </w14:solidFill>
          </w14:textFill>
        </w:rPr>
        <w:t>二是关阀堵漏，控制蔓延</w:t>
      </w:r>
      <w:r>
        <w:rPr>
          <w:color w:val="000000" w:themeColor="text1"/>
          <w14:textFill>
            <w14:solidFill>
              <w14:schemeClr w14:val="tx1"/>
            </w14:solidFill>
          </w14:textFill>
        </w:rPr>
        <w:t>。向油罐车注水抬高油层底部液面，减少汽油泄漏，对泄漏口进行堵漏。</w:t>
      </w:r>
      <w:r>
        <w:rPr>
          <w:b/>
          <w:bCs/>
          <w:color w:val="000000" w:themeColor="text1"/>
          <w14:textFill>
            <w14:solidFill>
              <w14:schemeClr w14:val="tx1"/>
            </w14:solidFill>
          </w14:textFill>
        </w:rPr>
        <w:t>三是输转倒罐，消除险情</w:t>
      </w:r>
      <w:r>
        <w:rPr>
          <w:color w:val="000000" w:themeColor="text1"/>
          <w14:textFill>
            <w14:solidFill>
              <w14:schemeClr w14:val="tx1"/>
            </w14:solidFill>
          </w14:textFill>
        </w:rPr>
        <w:t>。协调有关单位派遣倒罐车一部，将残油输转到安全车辆上来。</w:t>
      </w:r>
      <w:r>
        <w:rPr>
          <w:b/>
          <w:bCs/>
          <w:color w:val="000000" w:themeColor="text1"/>
          <w14:textFill>
            <w14:solidFill>
              <w14:schemeClr w14:val="tx1"/>
            </w14:solidFill>
          </w14:textFill>
        </w:rPr>
        <w:t>四是安排高速交警警车引道</w:t>
      </w:r>
      <w:r>
        <w:rPr>
          <w:color w:val="000000" w:themeColor="text1"/>
          <w14:textFill>
            <w14:solidFill>
              <w14:schemeClr w14:val="tx1"/>
            </w14:solidFill>
          </w14:textFill>
        </w:rPr>
        <w:t>，一部水罐车、一部泡沫车随车监护，引导事故油罐车辆撤离现场。</w:t>
      </w:r>
      <w:r>
        <w:rPr>
          <w:b/>
          <w:bCs/>
          <w:color w:val="000000" w:themeColor="text1"/>
          <w14:textFill>
            <w14:solidFill>
              <w14:schemeClr w14:val="tx1"/>
            </w14:solidFill>
          </w14:textFill>
        </w:rPr>
        <w:t>五是对事故现场进行一次彻底洗消</w:t>
      </w:r>
      <w:r>
        <w:rPr>
          <w:color w:val="000000" w:themeColor="text1"/>
          <w14:textFill>
            <w14:solidFill>
              <w14:schemeClr w14:val="tx1"/>
            </w14:solidFill>
          </w14:textFill>
        </w:rPr>
        <w:t>，确保现场油蒸气含量达不到爆炸极限。</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7月11日23时51分，特勤二中队6名官兵背负正压式空气呼吸器，携带重型防化服、堵漏器材和无火花工具到达现场，并成立堵漏小组随时待命；</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7月12日0时20分，秦山路中队、长江道中队、山海关开发区中队、关城路中队、西环路中队先后赶到现场，共计2部抢险救援消防车、7部水罐消防车、5部泡沫消防车、1部泡沫干粉联用消防车、1部移动通讯指挥车，88名官兵全部到达现场，力量集结完毕。前沿指挥部立即命令长江道中队出一条干线，战斗人员携带剪掉水带口的水带登上油罐车顶部向油罐车注水抬高液面。</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7月12日0时32分，市政府应急办、市公安局、安监、环保、卫生和高速巡警等部门相继到场，成立了以市公安局魏顺安副局长为总指挥，市应急办刘晓东、王长忠政委为副总指挥的事故处置总指挥部，同时启动《秦皇岛市道路交通事故应急预案》，总指挥部下设监测组、医疗救护组、警戒组和现场处置组。总指挥部命令监测组（安监、环保部门）负责对事故现场环境保持不间断监测，时刻监测汽油蒸气浓度变化，并随时报告变化情况；医疗救护组（卫生局）负责救护在处置过程中可能受伤的人员；警戒组（高速巡警）对泄漏点周边500米范围内过往车辆实施交通管制，严禁一切车辆、人员进入。</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7月12日0时35分，经过15分钟注水后，槽车底部油面提高，泄漏油量已经大幅减少。前沿指挥部综合研判现场具体情况，决定实施关阀堵漏。王长忠政委果断命令由作战参谋张亚军带领特勤二中队堵漏小组，着重型防化服，佩戴正压式空气呼吸器，携带木制堵漏和无火花工具，在水枪掩护下，先将油罐车电瓶线摘除，再对油罐车泄漏部位进行堵漏。堵漏小组利用无火花工具对撞坏主阀门进行维修，关闭主阀门后泄油量减少，再利用木质堵漏工具对泄油阀进行堵漏，历经30分钟紧张有序的工作，于7月12日1时05分堵漏成功。</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期间，长江道中队、山开中队和关城路中队组成的供水组采取运水供水方式，保证前方供水不间断。前方掩护组，通过水枪对事故车辆周边及流淌汽油层上方空气进行稀释防爆，降低空气中汽油蒸气含量。7月12日2时25分，经检测，汽油蒸气浓度降到了安全浓度，可以实施倒罐。</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7月12日2时30分，总指挥部命令倒罐车驶入事故地点，秦山路中队出一支水枪对倒罐车进行掩护，红旗北路中队出两支水枪对事故油罐车以及周围进行掩护，出一支泡沫管枪对事故车辆及周边10米范围内进行无缝隙覆盖。3时50分倒罐结束，由于油罐底部残余少量汽油不能完全倒罐，王长忠政委命令注水组再次登上油罐车顶部向油罐车注水，稀释油罐内残存的汽油和蒸气浓度，防止油罐车在转移过程中发生危险。</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7月12日4时20分，王长忠政委命令红旗北路中队出一辆水罐消防车，一辆泡沫消防车护送事故油罐车驶离事发地点，安全到达停车场。事故车辆驶离现场后，现场指挥部命令一支泡沫枪对高速南侧排水沟内残留汽油进行覆盖，防止汽油蒸发后发生爆燃。对参战人员和车辆装备及周边环境进行全面洗消。</w:t>
      </w:r>
    </w:p>
    <w:p>
      <w:pPr>
        <w:pStyle w:val="11"/>
        <w:ind w:firstLine="562"/>
        <w:rPr>
          <w:rFonts w:eastAsia="仿宋"/>
          <w:color w:val="000000" w:themeColor="text1"/>
          <w14:textFill>
            <w14:solidFill>
              <w14:schemeClr w14:val="tx1"/>
            </w14:solidFill>
          </w14:textFill>
        </w:rPr>
      </w:pPr>
      <w:bookmarkStart w:id="125" w:name="_Toc69739743"/>
      <w:r>
        <w:rPr>
          <w:rFonts w:eastAsia="仿宋"/>
          <w:color w:val="000000" w:themeColor="text1"/>
          <w14:textFill>
            <w14:solidFill>
              <w14:schemeClr w14:val="tx1"/>
            </w14:solidFill>
          </w14:textFill>
        </w:rPr>
        <w:t>4.1.2 主要环境风险识别</w:t>
      </w:r>
      <w:bookmarkEnd w:id="125"/>
    </w:p>
    <w:p>
      <w:pPr>
        <w:ind w:firstLine="560"/>
        <w:rPr>
          <w:color w:val="000000" w:themeColor="text1"/>
          <w14:textFill>
            <w14:solidFill>
              <w14:schemeClr w14:val="tx1"/>
            </w14:solidFill>
          </w14:textFill>
        </w:rPr>
      </w:pPr>
      <w:r>
        <w:rPr>
          <w:color w:val="000000" w:themeColor="text1"/>
          <w14:textFill>
            <w14:solidFill>
              <w14:schemeClr w14:val="tx1"/>
            </w14:solidFill>
          </w14:textFill>
        </w:rPr>
        <w:t>项目环境风险单元主要为危险货物运输车辆，主要的风险物质为途径本项目车辆运输的有毒有害、易燃易爆、腐蚀性、化肥农药等危险物质，涉及《危险化学品目录》（2015版）中物质。</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根据对项目区主要危险化学品调查，公路营运后，可能运输的危险化学品主要为油品、液化气及运输的化学危险品、农药等，其中，油罐车占危险品运输车辆的比重较大</w:t>
      </w:r>
      <w:r>
        <w:rPr>
          <w:color w:val="000000" w:themeColor="text1"/>
          <w14:textFill>
            <w14:solidFill>
              <w14:schemeClr w14:val="tx1"/>
            </w14:solidFill>
          </w14:textFill>
        </w:rPr>
        <w:t>。本次评估对油类物质以及风险性较大进行分析，风险物质主要为汽油、柴油等。公路运输可能发生的突发环境事件情景见表4-1。</w:t>
      </w:r>
    </w:p>
    <w:p>
      <w:pPr>
        <w:pStyle w:val="55"/>
        <w:rPr>
          <w:color w:val="000000" w:themeColor="text1"/>
          <w:sz w:val="21"/>
          <w:szCs w:val="21"/>
          <w14:textFill>
            <w14:solidFill>
              <w14:schemeClr w14:val="tx1"/>
            </w14:solidFill>
          </w14:textFill>
        </w:rPr>
      </w:pPr>
      <w:bookmarkStart w:id="126" w:name="_Toc456279515"/>
      <w:bookmarkEnd w:id="126"/>
      <w:bookmarkStart w:id="127" w:name="_Toc444845474"/>
      <w:bookmarkEnd w:id="127"/>
      <w:bookmarkStart w:id="128" w:name="_Toc397615827"/>
      <w:bookmarkEnd w:id="128"/>
      <w:bookmarkStart w:id="129" w:name="_Toc456279519"/>
      <w:bookmarkEnd w:id="129"/>
      <w:bookmarkStart w:id="130" w:name="_Toc461992059"/>
      <w:bookmarkEnd w:id="130"/>
      <w:bookmarkStart w:id="131" w:name="_Toc461992062"/>
      <w:bookmarkEnd w:id="131"/>
      <w:bookmarkStart w:id="132" w:name="_Toc431402312"/>
      <w:r>
        <w:rPr>
          <w:color w:val="000000" w:themeColor="text1"/>
          <w:sz w:val="21"/>
          <w:szCs w:val="21"/>
          <w14:textFill>
            <w14:solidFill>
              <w14:schemeClr w14:val="tx1"/>
            </w14:solidFill>
          </w14:textFill>
        </w:rPr>
        <w:t>表4-</w:t>
      </w:r>
      <w:bookmarkEnd w:id="132"/>
      <w:r>
        <w:rPr>
          <w:color w:val="000000" w:themeColor="text1"/>
          <w:sz w:val="21"/>
          <w:szCs w:val="21"/>
          <w14:textFill>
            <w14:solidFill>
              <w14:schemeClr w14:val="tx1"/>
            </w14:solidFill>
          </w14:textFill>
        </w:rPr>
        <w:t>1  本企业可能发生的突发环境事件情景</w:t>
      </w:r>
    </w:p>
    <w:tbl>
      <w:tblPr>
        <w:tblStyle w:val="22"/>
        <w:tblW w:w="5000" w:type="pct"/>
        <w:jc w:val="center"/>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Layout w:type="autofit"/>
        <w:tblCellMar>
          <w:top w:w="0" w:type="dxa"/>
          <w:left w:w="108" w:type="dxa"/>
          <w:bottom w:w="0" w:type="dxa"/>
          <w:right w:w="108" w:type="dxa"/>
        </w:tblCellMar>
      </w:tblPr>
      <w:tblGrid>
        <w:gridCol w:w="660"/>
        <w:gridCol w:w="1334"/>
        <w:gridCol w:w="1469"/>
        <w:gridCol w:w="2271"/>
        <w:gridCol w:w="2794"/>
      </w:tblGrid>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PrEx>
        <w:trPr>
          <w:trHeight w:val="557" w:hRule="atLeast"/>
          <w:jc w:val="center"/>
        </w:trPr>
        <w:tc>
          <w:tcPr>
            <w:tcW w:w="387"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序号</w:t>
            </w:r>
          </w:p>
        </w:tc>
        <w:tc>
          <w:tcPr>
            <w:tcW w:w="782"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突发环境事件情景</w:t>
            </w:r>
          </w:p>
        </w:tc>
        <w:tc>
          <w:tcPr>
            <w:tcW w:w="861"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环境风险物质/污染物</w:t>
            </w:r>
          </w:p>
        </w:tc>
        <w:tc>
          <w:tcPr>
            <w:tcW w:w="1331"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事件发生地</w:t>
            </w:r>
          </w:p>
        </w:tc>
        <w:tc>
          <w:tcPr>
            <w:tcW w:w="1638"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原因</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trHeight w:val="386" w:hRule="atLeast"/>
          <w:jc w:val="center"/>
        </w:trPr>
        <w:tc>
          <w:tcPr>
            <w:tcW w:w="387"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782"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危化品泄漏事故</w:t>
            </w:r>
          </w:p>
        </w:tc>
        <w:tc>
          <w:tcPr>
            <w:tcW w:w="861"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危化品</w:t>
            </w:r>
          </w:p>
        </w:tc>
        <w:tc>
          <w:tcPr>
            <w:tcW w:w="1331" w:type="pct"/>
            <w:vMerge w:val="restar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高速公路及临近土地、跨</w:t>
            </w:r>
            <w:r>
              <w:rPr>
                <w:rFonts w:hint="eastAsia"/>
                <w:color w:val="000000" w:themeColor="text1"/>
                <w:sz w:val="21"/>
                <w:szCs w:val="21"/>
                <w14:textFill>
                  <w14:solidFill>
                    <w14:schemeClr w14:val="tx1"/>
                  </w14:solidFill>
                </w14:textFill>
              </w:rPr>
              <w:t>各类保护区，</w:t>
            </w:r>
            <w:r>
              <w:rPr>
                <w:color w:val="000000" w:themeColor="text1"/>
                <w:sz w:val="21"/>
                <w:szCs w:val="21"/>
                <w14:textFill>
                  <w14:solidFill>
                    <w14:schemeClr w14:val="tx1"/>
                  </w14:solidFill>
                </w14:textFill>
              </w:rPr>
              <w:t>河</w:t>
            </w:r>
            <w:r>
              <w:rPr>
                <w:rFonts w:hint="eastAsia"/>
                <w:color w:val="000000" w:themeColor="text1"/>
                <w:sz w:val="21"/>
                <w:szCs w:val="21"/>
                <w14:textFill>
                  <w14:solidFill>
                    <w14:schemeClr w14:val="tx1"/>
                  </w14:solidFill>
                </w14:textFill>
              </w:rPr>
              <w:t>道</w:t>
            </w:r>
            <w:r>
              <w:rPr>
                <w:color w:val="000000" w:themeColor="text1"/>
                <w:sz w:val="21"/>
                <w:szCs w:val="21"/>
                <w14:textFill>
                  <w14:solidFill>
                    <w14:schemeClr w14:val="tx1"/>
                  </w14:solidFill>
                </w14:textFill>
              </w:rPr>
              <w:t>桥梁及水体、居民点</w:t>
            </w:r>
          </w:p>
        </w:tc>
        <w:tc>
          <w:tcPr>
            <w:tcW w:w="1638"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运输过程中操作不当、原料桶破损及安全措施落实不到位，可能造成泄漏</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trHeight w:val="386" w:hRule="atLeast"/>
          <w:jc w:val="center"/>
        </w:trPr>
        <w:tc>
          <w:tcPr>
            <w:tcW w:w="387"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w:t>
            </w:r>
          </w:p>
        </w:tc>
        <w:tc>
          <w:tcPr>
            <w:tcW w:w="782"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油品爆炸、火灾事故</w:t>
            </w:r>
          </w:p>
        </w:tc>
        <w:tc>
          <w:tcPr>
            <w:tcW w:w="861"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油品</w:t>
            </w:r>
          </w:p>
        </w:tc>
        <w:tc>
          <w:tcPr>
            <w:tcW w:w="1331" w:type="pct"/>
            <w:vMerge w:val="continue"/>
            <w:shd w:val="clear" w:color="auto" w:fill="auto"/>
            <w:vAlign w:val="center"/>
          </w:tcPr>
          <w:p>
            <w:pPr>
              <w:pStyle w:val="58"/>
              <w:rPr>
                <w:color w:val="000000" w:themeColor="text1"/>
                <w:sz w:val="21"/>
                <w:szCs w:val="21"/>
                <w14:textFill>
                  <w14:solidFill>
                    <w14:schemeClr w14:val="tx1"/>
                  </w14:solidFill>
                </w14:textFill>
              </w:rPr>
            </w:pPr>
          </w:p>
        </w:tc>
        <w:tc>
          <w:tcPr>
            <w:tcW w:w="1638"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油罐车发生泄漏或撞车等事故</w:t>
            </w:r>
          </w:p>
        </w:tc>
      </w:tr>
    </w:tbl>
    <w:p>
      <w:pPr>
        <w:pStyle w:val="10"/>
        <w:ind w:firstLine="321"/>
        <w:rPr>
          <w:color w:val="000000" w:themeColor="text1"/>
          <w14:textFill>
            <w14:solidFill>
              <w14:schemeClr w14:val="tx1"/>
            </w14:solidFill>
          </w14:textFill>
        </w:rPr>
      </w:pPr>
      <w:bookmarkStart w:id="133" w:name="_Toc47541605"/>
      <w:bookmarkEnd w:id="133"/>
      <w:bookmarkStart w:id="134" w:name="_Toc80973313"/>
      <w:bookmarkStart w:id="135" w:name="_Toc69739744"/>
      <w:r>
        <w:rPr>
          <w:color w:val="000000" w:themeColor="text1"/>
          <w14:textFill>
            <w14:solidFill>
              <w14:schemeClr w14:val="tx1"/>
            </w14:solidFill>
          </w14:textFill>
        </w:rPr>
        <w:t>4.2 突发环境事件情景源强分析</w:t>
      </w:r>
      <w:bookmarkEnd w:id="134"/>
      <w:bookmarkEnd w:id="135"/>
    </w:p>
    <w:p>
      <w:pPr>
        <w:ind w:firstLine="560"/>
        <w:rPr>
          <w:color w:val="000000" w:themeColor="text1"/>
          <w14:textFill>
            <w14:solidFill>
              <w14:schemeClr w14:val="tx1"/>
            </w14:solidFill>
          </w14:textFill>
        </w:rPr>
      </w:pPr>
      <w:r>
        <w:rPr>
          <w:color w:val="000000" w:themeColor="text1"/>
          <w14:textFill>
            <w14:solidFill>
              <w14:schemeClr w14:val="tx1"/>
            </w14:solidFill>
          </w14:textFill>
        </w:rPr>
        <w:t>本次评估根据本项目高速公路运输危险化学品特征，对运输频次高以及风险物质运输量大的风险物质进行预测和分析。汽油和柴油一辆油罐车运输最大量均按30t计，易燃油类仅预测柴油。</w:t>
      </w:r>
    </w:p>
    <w:p>
      <w:pPr>
        <w:ind w:firstLine="560"/>
        <w:rPr>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t>①</w:t>
      </w:r>
      <w:r>
        <w:rPr>
          <w:color w:val="000000" w:themeColor="text1"/>
          <w14:textFill>
            <w14:solidFill>
              <w14:schemeClr w14:val="tx1"/>
            </w14:solidFill>
          </w14:textFill>
        </w:rPr>
        <w:t>事故假定1：</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1个油罐车翻车或破损泄漏进入沿线水体，其泄漏量为30t，流出的油类全部进入地表水体。</w:t>
      </w:r>
    </w:p>
    <w:p>
      <w:pPr>
        <w:ind w:firstLine="560"/>
        <w:rPr>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w:t>②</w:t>
      </w:r>
      <w:r>
        <w:rPr>
          <w:color w:val="000000" w:themeColor="text1"/>
          <w14:textFill>
            <w14:solidFill>
              <w14:schemeClr w14:val="tx1"/>
            </w14:solidFill>
          </w14:textFill>
        </w:rPr>
        <w:t>事故假定2：</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1个油罐车发生破损泄漏，其泄漏量为30t，遇到明火发生爆炸。</w:t>
      </w:r>
    </w:p>
    <w:p>
      <w:pPr>
        <w:ind w:firstLine="562"/>
        <w:rPr>
          <w:b/>
          <w:bCs/>
          <w:color w:val="000000" w:themeColor="text1"/>
          <w14:textFill>
            <w14:solidFill>
              <w14:schemeClr w14:val="tx1"/>
            </w14:solidFill>
          </w14:textFill>
        </w:rPr>
      </w:pPr>
      <w:r>
        <w:rPr>
          <w:b/>
          <w:bCs/>
          <w:color w:val="000000" w:themeColor="text1"/>
          <w14:textFill>
            <w14:solidFill>
              <w14:schemeClr w14:val="tx1"/>
            </w14:solidFill>
          </w14:textFill>
        </w:rPr>
        <w:t>（1）液体泄漏速度</w:t>
      </w:r>
    </w:p>
    <w:p>
      <w:pPr>
        <w:ind w:firstLine="560"/>
        <w:rPr>
          <w:bCs/>
          <w:color w:val="000000" w:themeColor="text1"/>
          <w14:textFill>
            <w14:solidFill>
              <w14:schemeClr w14:val="tx1"/>
            </w14:solidFill>
          </w14:textFill>
        </w:rPr>
      </w:pPr>
      <w:r>
        <w:rPr>
          <w:bCs/>
          <w:color w:val="000000" w:themeColor="text1"/>
          <w14:textFill>
            <w14:solidFill>
              <w14:schemeClr w14:val="tx1"/>
            </w14:solidFill>
          </w14:textFill>
        </w:rPr>
        <w:t>参照《建设项目环境风险评价技术导则》（HJ 169-2018）附录F1.1液体泄漏速率Q</w:t>
      </w:r>
      <w:r>
        <w:rPr>
          <w:bCs/>
          <w:color w:val="000000" w:themeColor="text1"/>
          <w:vertAlign w:val="subscript"/>
          <w14:textFill>
            <w14:solidFill>
              <w14:schemeClr w14:val="tx1"/>
            </w14:solidFill>
          </w14:textFill>
        </w:rPr>
        <w:t>L</w:t>
      </w:r>
      <w:r>
        <w:rPr>
          <w:bCs/>
          <w:color w:val="000000" w:themeColor="text1"/>
          <w14:textFill>
            <w14:solidFill>
              <w14:schemeClr w14:val="tx1"/>
            </w14:solidFill>
          </w14:textFill>
        </w:rPr>
        <w:t>用伯努利方程计算：</w:t>
      </w:r>
    </w:p>
    <w:p>
      <w:pPr>
        <w:ind w:firstLine="560"/>
        <w:jc w:val="center"/>
        <w:rPr>
          <w:color w:val="000000" w:themeColor="text1"/>
          <w14:textFill>
            <w14:solidFill>
              <w14:schemeClr w14:val="tx1"/>
            </w14:solidFill>
          </w14:textFill>
        </w:rPr>
      </w:pPr>
      <w:r>
        <w:rPr>
          <w:color w:val="000000" w:themeColor="text1"/>
          <w14:textFill>
            <w14:solidFill>
              <w14:schemeClr w14:val="tx1"/>
            </w14:solidFill>
          </w14:textFill>
        </w:rPr>
        <w:pict>
          <v:shape id="_x0000_s1027" o:spid="_x0000_s1027" o:spt="75" type="#_x0000_t75" style="position:absolute;left:0pt;margin-left:170.85pt;margin-top:-4.1pt;height:38pt;width:147pt;z-index:251660288;mso-width-relative:page;mso-height-relative:page;" o:ole="t" filled="f" o:preferrelative="t" stroked="f" coordsize="21600,21600" o:allowincell="f">
            <v:path/>
            <v:fill on="f" focussize="0,0"/>
            <v:stroke on="f" joinstyle="miter"/>
            <v:imagedata r:id="rId27" o:title=""/>
            <o:lock v:ext="edit" aspectratio="t"/>
          </v:shape>
          <o:OLEObject Type="Embed" ProgID="Equation.3" ShapeID="_x0000_s1027" DrawAspect="Content" ObjectID="_1468075725" r:id="rId26">
            <o:LockedField>false</o:LockedField>
          </o:OLEObject>
        </w:pict>
      </w:r>
    </w:p>
    <w:p>
      <w:pPr>
        <w:ind w:firstLine="48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式中：</w:t>
      </w:r>
    </w:p>
    <w:p>
      <w:pPr>
        <w:ind w:firstLine="480"/>
        <w:rPr>
          <w:color w:val="000000" w:themeColor="text1"/>
          <w:sz w:val="24"/>
          <w:szCs w:val="24"/>
          <w14:textFill>
            <w14:solidFill>
              <w14:schemeClr w14:val="tx1"/>
            </w14:solidFill>
          </w14:textFill>
        </w:rPr>
      </w:pPr>
      <w:r>
        <w:rPr>
          <w:i/>
          <w:color w:val="000000" w:themeColor="text1"/>
          <w:sz w:val="24"/>
          <w:szCs w:val="24"/>
          <w14:textFill>
            <w14:solidFill>
              <w14:schemeClr w14:val="tx1"/>
            </w14:solidFill>
          </w14:textFill>
        </w:rPr>
        <w:t>Q</w:t>
      </w:r>
      <w:r>
        <w:rPr>
          <w:i/>
          <w:color w:val="000000" w:themeColor="text1"/>
          <w:sz w:val="24"/>
          <w:szCs w:val="24"/>
          <w:vertAlign w:val="subscript"/>
          <w14:textFill>
            <w14:solidFill>
              <w14:schemeClr w14:val="tx1"/>
            </w14:solidFill>
          </w14:textFill>
        </w:rPr>
        <w:t>L</w:t>
      </w:r>
      <w:r>
        <w:rPr>
          <w:color w:val="000000" w:themeColor="text1"/>
          <w:sz w:val="24"/>
          <w:szCs w:val="24"/>
          <w14:textFill>
            <w14:solidFill>
              <w14:schemeClr w14:val="tx1"/>
            </w14:solidFill>
          </w14:textFill>
        </w:rPr>
        <w:t>--液体泄漏速度，kg/s；</w:t>
      </w:r>
    </w:p>
    <w:p>
      <w:pPr>
        <w:ind w:firstLine="480"/>
        <w:rPr>
          <w:color w:val="000000" w:themeColor="text1"/>
          <w:sz w:val="24"/>
          <w:szCs w:val="24"/>
          <w14:textFill>
            <w14:solidFill>
              <w14:schemeClr w14:val="tx1"/>
            </w14:solidFill>
          </w14:textFill>
        </w:rPr>
      </w:pPr>
      <w:r>
        <w:rPr>
          <w:i/>
          <w:color w:val="000000" w:themeColor="text1"/>
          <w:sz w:val="24"/>
          <w:szCs w:val="24"/>
          <w14:textFill>
            <w14:solidFill>
              <w14:schemeClr w14:val="tx1"/>
            </w14:solidFill>
          </w14:textFill>
        </w:rPr>
        <w:t>C</w:t>
      </w:r>
      <w:r>
        <w:rPr>
          <w:i/>
          <w:color w:val="000000" w:themeColor="text1"/>
          <w:sz w:val="24"/>
          <w:szCs w:val="24"/>
          <w:vertAlign w:val="subscript"/>
          <w14:textFill>
            <w14:solidFill>
              <w14:schemeClr w14:val="tx1"/>
            </w14:solidFill>
          </w14:textFill>
        </w:rPr>
        <w:t>d</w:t>
      </w:r>
      <w:r>
        <w:rPr>
          <w:color w:val="000000" w:themeColor="text1"/>
          <w:sz w:val="24"/>
          <w:szCs w:val="24"/>
          <w14:textFill>
            <w14:solidFill>
              <w14:schemeClr w14:val="tx1"/>
            </w14:solidFill>
          </w14:textFill>
        </w:rPr>
        <w:t>--液体泄漏系数，本项目取0.6。</w:t>
      </w:r>
    </w:p>
    <w:p>
      <w:pPr>
        <w:ind w:firstLine="480"/>
        <w:rPr>
          <w:color w:val="000000" w:themeColor="text1"/>
          <w:sz w:val="24"/>
          <w:szCs w:val="24"/>
          <w14:textFill>
            <w14:solidFill>
              <w14:schemeClr w14:val="tx1"/>
            </w14:solidFill>
          </w14:textFill>
        </w:rPr>
      </w:pPr>
      <w:r>
        <w:rPr>
          <w:i/>
          <w:color w:val="000000" w:themeColor="text1"/>
          <w:sz w:val="24"/>
          <w:szCs w:val="24"/>
          <w14:textFill>
            <w14:solidFill>
              <w14:schemeClr w14:val="tx1"/>
            </w14:solidFill>
          </w14:textFill>
        </w:rPr>
        <w:t>A</w:t>
      </w:r>
      <w:r>
        <w:rPr>
          <w:color w:val="000000" w:themeColor="text1"/>
          <w:sz w:val="24"/>
          <w:szCs w:val="24"/>
          <w14:textFill>
            <w14:solidFill>
              <w14:schemeClr w14:val="tx1"/>
            </w14:solidFill>
          </w14:textFill>
        </w:rPr>
        <w:t>--裂口面积，m</w:t>
      </w:r>
      <w:r>
        <w:rPr>
          <w:color w:val="000000" w:themeColor="text1"/>
          <w:sz w:val="24"/>
          <w:szCs w:val="24"/>
          <w:vertAlign w:val="superscript"/>
          <w14:textFill>
            <w14:solidFill>
              <w14:schemeClr w14:val="tx1"/>
            </w14:solidFill>
          </w14:textFill>
        </w:rPr>
        <w:t>2</w:t>
      </w:r>
      <w:r>
        <w:rPr>
          <w:color w:val="000000" w:themeColor="text1"/>
          <w:sz w:val="24"/>
          <w:szCs w:val="24"/>
          <w14:textFill>
            <w14:solidFill>
              <w14:schemeClr w14:val="tx1"/>
            </w14:solidFill>
          </w14:textFill>
        </w:rPr>
        <w:t>；本项目取直径0.5m的圆，0.2m</w:t>
      </w:r>
      <w:r>
        <w:rPr>
          <w:color w:val="000000" w:themeColor="text1"/>
          <w:sz w:val="24"/>
          <w:szCs w:val="24"/>
          <w:vertAlign w:val="superscript"/>
          <w14:textFill>
            <w14:solidFill>
              <w14:schemeClr w14:val="tx1"/>
            </w14:solidFill>
          </w14:textFill>
        </w:rPr>
        <w:t>2</w:t>
      </w:r>
      <w:r>
        <w:rPr>
          <w:color w:val="000000" w:themeColor="text1"/>
          <w:sz w:val="24"/>
          <w:szCs w:val="24"/>
          <w14:textFill>
            <w14:solidFill>
              <w14:schemeClr w14:val="tx1"/>
            </w14:solidFill>
          </w14:textFill>
        </w:rPr>
        <w:t>。</w:t>
      </w:r>
    </w:p>
    <w:p>
      <w:pPr>
        <w:ind w:firstLine="480"/>
        <w:rPr>
          <w:color w:val="000000" w:themeColor="text1"/>
          <w:sz w:val="24"/>
          <w:szCs w:val="24"/>
          <w14:textFill>
            <w14:solidFill>
              <w14:schemeClr w14:val="tx1"/>
            </w14:solidFill>
          </w14:textFill>
        </w:rPr>
      </w:pPr>
      <w:r>
        <w:rPr>
          <w:i/>
          <w:color w:val="000000" w:themeColor="text1"/>
          <w:sz w:val="24"/>
          <w:szCs w:val="24"/>
          <w14:textFill>
            <w14:solidFill>
              <w14:schemeClr w14:val="tx1"/>
            </w14:solidFill>
          </w14:textFill>
        </w:rPr>
        <w:t>P</w:t>
      </w:r>
      <w:r>
        <w:rPr>
          <w:color w:val="000000" w:themeColor="text1"/>
          <w:sz w:val="24"/>
          <w:szCs w:val="24"/>
          <w14:textFill>
            <w14:solidFill>
              <w14:schemeClr w14:val="tx1"/>
            </w14:solidFill>
          </w14:textFill>
        </w:rPr>
        <w:t>--容器内介质压力，Pa；常压储罐取0.1MPa。</w:t>
      </w:r>
    </w:p>
    <w:p>
      <w:pPr>
        <w:ind w:firstLine="480"/>
        <w:rPr>
          <w:color w:val="000000" w:themeColor="text1"/>
          <w:sz w:val="24"/>
          <w:szCs w:val="24"/>
          <w14:textFill>
            <w14:solidFill>
              <w14:schemeClr w14:val="tx1"/>
            </w14:solidFill>
          </w14:textFill>
        </w:rPr>
      </w:pPr>
      <w:r>
        <w:rPr>
          <w:i/>
          <w:color w:val="000000" w:themeColor="text1"/>
          <w:sz w:val="24"/>
          <w:szCs w:val="24"/>
          <w14:textFill>
            <w14:solidFill>
              <w14:schemeClr w14:val="tx1"/>
            </w14:solidFill>
          </w14:textFill>
        </w:rPr>
        <w:t>P</w:t>
      </w:r>
      <w:r>
        <w:rPr>
          <w:i/>
          <w:color w:val="000000" w:themeColor="text1"/>
          <w:sz w:val="24"/>
          <w:szCs w:val="24"/>
          <w:vertAlign w:val="subscript"/>
          <w14:textFill>
            <w14:solidFill>
              <w14:schemeClr w14:val="tx1"/>
            </w14:solidFill>
          </w14:textFill>
        </w:rPr>
        <w:t>0</w:t>
      </w:r>
      <w:r>
        <w:rPr>
          <w:color w:val="000000" w:themeColor="text1"/>
          <w:sz w:val="24"/>
          <w:szCs w:val="24"/>
          <w14:textFill>
            <w14:solidFill>
              <w14:schemeClr w14:val="tx1"/>
            </w14:solidFill>
          </w14:textFill>
        </w:rPr>
        <w:t>--环境压力，Pa；本项目取0.1MPa。</w:t>
      </w:r>
    </w:p>
    <w:p>
      <w:pPr>
        <w:ind w:firstLine="480"/>
        <w:rPr>
          <w:color w:val="000000" w:themeColor="text1"/>
          <w:sz w:val="24"/>
          <w:szCs w:val="24"/>
          <w14:textFill>
            <w14:solidFill>
              <w14:schemeClr w14:val="tx1"/>
            </w14:solidFill>
          </w14:textFill>
        </w:rPr>
      </w:pPr>
      <w:r>
        <w:rPr>
          <w:i/>
          <w:color w:val="000000" w:themeColor="text1"/>
          <w:sz w:val="24"/>
          <w:szCs w:val="24"/>
          <w14:textFill>
            <w14:solidFill>
              <w14:schemeClr w14:val="tx1"/>
            </w14:solidFill>
          </w14:textFill>
        </w:rPr>
        <w:t>g</w:t>
      </w:r>
      <w:r>
        <w:rPr>
          <w:color w:val="000000" w:themeColor="text1"/>
          <w:sz w:val="24"/>
          <w:szCs w:val="24"/>
          <w14:textFill>
            <w14:solidFill>
              <w14:schemeClr w14:val="tx1"/>
            </w14:solidFill>
          </w14:textFill>
        </w:rPr>
        <w:t>--重力加速度。</w:t>
      </w:r>
    </w:p>
    <w:p>
      <w:pPr>
        <w:ind w:firstLine="480"/>
        <w:rPr>
          <w:color w:val="000000" w:themeColor="text1"/>
          <w14:textFill>
            <w14:solidFill>
              <w14:schemeClr w14:val="tx1"/>
            </w14:solidFill>
          </w14:textFill>
        </w:rPr>
      </w:pPr>
      <w:r>
        <w:rPr>
          <w:i/>
          <w:color w:val="000000" w:themeColor="text1"/>
          <w:sz w:val="24"/>
          <w:szCs w:val="24"/>
          <w14:textFill>
            <w14:solidFill>
              <w14:schemeClr w14:val="tx1"/>
            </w14:solidFill>
          </w14:textFill>
        </w:rPr>
        <w:t>h</w:t>
      </w:r>
      <w:r>
        <w:rPr>
          <w:color w:val="000000" w:themeColor="text1"/>
          <w:sz w:val="24"/>
          <w:szCs w:val="24"/>
          <w14:textFill>
            <w14:solidFill>
              <w14:schemeClr w14:val="tx1"/>
            </w14:solidFill>
          </w14:textFill>
        </w:rPr>
        <w:t>--裂口之上液位高度，m；本项目取0.5m。</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计算得</w:t>
      </w:r>
      <w:r>
        <w:rPr>
          <w:i/>
          <w:color w:val="000000" w:themeColor="text1"/>
          <w14:textFill>
            <w14:solidFill>
              <w14:schemeClr w14:val="tx1"/>
            </w14:solidFill>
          </w14:textFill>
        </w:rPr>
        <w:t>Q</w:t>
      </w:r>
      <w:r>
        <w:rPr>
          <w:i/>
          <w:color w:val="000000" w:themeColor="text1"/>
          <w:vertAlign w:val="subscript"/>
          <w14:textFill>
            <w14:solidFill>
              <w14:schemeClr w14:val="tx1"/>
            </w14:solidFill>
          </w14:textFill>
        </w:rPr>
        <w:t>L</w:t>
      </w:r>
      <w:r>
        <w:rPr>
          <w:i/>
          <w:color w:val="000000" w:themeColor="text1"/>
          <w14:textFill>
            <w14:solidFill>
              <w14:schemeClr w14:val="tx1"/>
            </w14:solidFill>
          </w14:textFill>
        </w:rPr>
        <w:t>=</w:t>
      </w:r>
      <w:r>
        <w:rPr>
          <w:iCs/>
          <w:color w:val="000000" w:themeColor="text1"/>
          <w14:textFill>
            <w14:solidFill>
              <w14:schemeClr w14:val="tx1"/>
            </w14:solidFill>
          </w14:textFill>
        </w:rPr>
        <w:t>266kg/s</w:t>
      </w:r>
    </w:p>
    <w:p>
      <w:pPr>
        <w:ind w:firstLine="562"/>
        <w:rPr>
          <w:b/>
          <w:bCs/>
          <w:color w:val="000000" w:themeColor="text1"/>
          <w14:textFill>
            <w14:solidFill>
              <w14:schemeClr w14:val="tx1"/>
            </w14:solidFill>
          </w14:textFill>
        </w:rPr>
      </w:pPr>
      <w:r>
        <w:rPr>
          <w:b/>
          <w:bCs/>
          <w:color w:val="000000" w:themeColor="text1"/>
          <w14:textFill>
            <w14:solidFill>
              <w14:schemeClr w14:val="tx1"/>
            </w14:solidFill>
          </w14:textFill>
        </w:rPr>
        <w:t>（2）火灾半生/次生污染物中CO产生量</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参照《建设项目环境风险评价技术导则》（HJ 169-2018）附录F3.2对油品火灾伴生/次生污染物中CO产生量进行估算：</w:t>
      </w:r>
    </w:p>
    <w:p>
      <w:pPr>
        <w:ind w:firstLine="560"/>
        <w:jc w:val="center"/>
        <w:rPr>
          <w:bCs/>
          <w:i/>
          <w:iCs/>
          <w:color w:val="000000" w:themeColor="text1"/>
          <w14:textFill>
            <w14:solidFill>
              <w14:schemeClr w14:val="tx1"/>
            </w14:solidFill>
          </w14:textFill>
        </w:rPr>
      </w:pPr>
      <w:r>
        <w:rPr>
          <w:bCs/>
          <w:i/>
          <w:iCs/>
          <w:color w:val="000000" w:themeColor="text1"/>
          <w14:textFill>
            <w14:solidFill>
              <w14:schemeClr w14:val="tx1"/>
            </w14:solidFill>
          </w14:textFill>
        </w:rPr>
        <w:t>G</w:t>
      </w:r>
      <w:r>
        <w:rPr>
          <w:bCs/>
          <w:i/>
          <w:iCs/>
          <w:color w:val="000000" w:themeColor="text1"/>
          <w:vertAlign w:val="subscript"/>
          <w14:textFill>
            <w14:solidFill>
              <w14:schemeClr w14:val="tx1"/>
            </w14:solidFill>
          </w14:textFill>
        </w:rPr>
        <w:t>CO</w:t>
      </w:r>
      <w:r>
        <w:rPr>
          <w:bCs/>
          <w:i/>
          <w:iCs/>
          <w:color w:val="000000" w:themeColor="text1"/>
          <w14:textFill>
            <w14:solidFill>
              <w14:schemeClr w14:val="tx1"/>
            </w14:solidFill>
          </w14:textFill>
        </w:rPr>
        <w:t>=2330qCQ</w:t>
      </w:r>
    </w:p>
    <w:p>
      <w:pPr>
        <w:ind w:firstLine="48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式中：</w:t>
      </w:r>
    </w:p>
    <w:p>
      <w:pPr>
        <w:ind w:firstLine="480"/>
        <w:rPr>
          <w:color w:val="000000" w:themeColor="text1"/>
          <w:sz w:val="24"/>
          <w:szCs w:val="24"/>
          <w14:textFill>
            <w14:solidFill>
              <w14:schemeClr w14:val="tx1"/>
            </w14:solidFill>
          </w14:textFill>
        </w:rPr>
      </w:pPr>
      <w:r>
        <w:rPr>
          <w:bCs/>
          <w:i/>
          <w:iCs/>
          <w:color w:val="000000" w:themeColor="text1"/>
          <w:sz w:val="24"/>
          <w:szCs w:val="24"/>
          <w14:textFill>
            <w14:solidFill>
              <w14:schemeClr w14:val="tx1"/>
            </w14:solidFill>
          </w14:textFill>
        </w:rPr>
        <w:t>G</w:t>
      </w:r>
      <w:r>
        <w:rPr>
          <w:bCs/>
          <w:i/>
          <w:iCs/>
          <w:color w:val="000000" w:themeColor="text1"/>
          <w:sz w:val="24"/>
          <w:szCs w:val="24"/>
          <w:vertAlign w:val="subscript"/>
          <w14:textFill>
            <w14:solidFill>
              <w14:schemeClr w14:val="tx1"/>
            </w14:solidFill>
          </w14:textFill>
        </w:rPr>
        <w:t>CO</w:t>
      </w:r>
      <w:r>
        <w:rPr>
          <w:color w:val="000000" w:themeColor="text1"/>
          <w:sz w:val="24"/>
          <w:szCs w:val="24"/>
          <w14:textFill>
            <w14:solidFill>
              <w14:schemeClr w14:val="tx1"/>
            </w14:solidFill>
          </w14:textFill>
        </w:rPr>
        <w:t>--CO产生量，g/kg；</w:t>
      </w:r>
    </w:p>
    <w:p>
      <w:pPr>
        <w:ind w:firstLine="480"/>
        <w:rPr>
          <w:color w:val="000000" w:themeColor="text1"/>
          <w:sz w:val="24"/>
          <w:szCs w:val="24"/>
          <w14:textFill>
            <w14:solidFill>
              <w14:schemeClr w14:val="tx1"/>
            </w14:solidFill>
          </w14:textFill>
        </w:rPr>
      </w:pPr>
      <w:r>
        <w:rPr>
          <w:i/>
          <w:color w:val="000000" w:themeColor="text1"/>
          <w:sz w:val="24"/>
          <w:szCs w:val="24"/>
          <w14:textFill>
            <w14:solidFill>
              <w14:schemeClr w14:val="tx1"/>
            </w14:solidFill>
          </w14:textFill>
        </w:rPr>
        <w:t>C</w:t>
      </w:r>
      <w:r>
        <w:rPr>
          <w:color w:val="000000" w:themeColor="text1"/>
          <w:sz w:val="24"/>
          <w:szCs w:val="24"/>
          <w14:textFill>
            <w14:solidFill>
              <w14:schemeClr w14:val="tx1"/>
            </w14:solidFill>
          </w14:textFill>
        </w:rPr>
        <w:t>--物质中碳的质量百分比含量，%，柴油取90%。</w:t>
      </w:r>
    </w:p>
    <w:p>
      <w:pPr>
        <w:ind w:firstLine="480"/>
        <w:rPr>
          <w:color w:val="000000" w:themeColor="text1"/>
          <w:sz w:val="24"/>
          <w:szCs w:val="24"/>
          <w14:textFill>
            <w14:solidFill>
              <w14:schemeClr w14:val="tx1"/>
            </w14:solidFill>
          </w14:textFill>
        </w:rPr>
      </w:pPr>
      <w:r>
        <w:rPr>
          <w:i/>
          <w:color w:val="000000" w:themeColor="text1"/>
          <w:sz w:val="24"/>
          <w:szCs w:val="24"/>
          <w14:textFill>
            <w14:solidFill>
              <w14:schemeClr w14:val="tx1"/>
            </w14:solidFill>
          </w14:textFill>
        </w:rPr>
        <w:t>q</w:t>
      </w:r>
      <w:r>
        <w:rPr>
          <w:color w:val="000000" w:themeColor="text1"/>
          <w:sz w:val="24"/>
          <w:szCs w:val="24"/>
          <w14:textFill>
            <w14:solidFill>
              <w14:schemeClr w14:val="tx1"/>
            </w14:solidFill>
          </w14:textFill>
        </w:rPr>
        <w:t>--化学不完全燃烧值，%；油品燃烧取2%。</w:t>
      </w:r>
    </w:p>
    <w:p>
      <w:pPr>
        <w:ind w:firstLine="480"/>
        <w:rPr>
          <w:color w:val="000000" w:themeColor="text1"/>
          <w:sz w:val="24"/>
          <w:szCs w:val="24"/>
          <w14:textFill>
            <w14:solidFill>
              <w14:schemeClr w14:val="tx1"/>
            </w14:solidFill>
          </w14:textFill>
        </w:rPr>
      </w:pPr>
      <w:r>
        <w:rPr>
          <w:i/>
          <w:color w:val="000000" w:themeColor="text1"/>
          <w:sz w:val="24"/>
          <w:szCs w:val="24"/>
          <w14:textFill>
            <w14:solidFill>
              <w14:schemeClr w14:val="tx1"/>
            </w14:solidFill>
          </w14:textFill>
        </w:rPr>
        <w:t>Q</w:t>
      </w:r>
      <w:r>
        <w:rPr>
          <w:color w:val="000000" w:themeColor="text1"/>
          <w:sz w:val="24"/>
          <w:szCs w:val="24"/>
          <w14:textFill>
            <w14:solidFill>
              <w14:schemeClr w14:val="tx1"/>
            </w14:solidFill>
          </w14:textFill>
        </w:rPr>
        <w:t>--参与燃烧的物质量，t/s；常压储罐取0.1MPa。</w:t>
      </w:r>
    </w:p>
    <w:p>
      <w:pPr>
        <w:ind w:firstLine="480"/>
        <w:rPr>
          <w:color w:val="000000" w:themeColor="text1"/>
          <w14:textFill>
            <w14:solidFill>
              <w14:schemeClr w14:val="tx1"/>
            </w14:solidFill>
          </w14:textFill>
        </w:rPr>
      </w:pPr>
      <w:r>
        <w:rPr>
          <w:i/>
          <w:iCs/>
          <w:color w:val="000000" w:themeColor="text1"/>
          <w:sz w:val="24"/>
          <w:szCs w:val="24"/>
          <w14:textFill>
            <w14:solidFill>
              <w14:schemeClr w14:val="tx1"/>
            </w14:solidFill>
          </w14:textFill>
        </w:rPr>
        <w:t>G</w:t>
      </w:r>
      <w:r>
        <w:rPr>
          <w:i/>
          <w:iCs/>
          <w:color w:val="000000" w:themeColor="text1"/>
          <w:sz w:val="24"/>
          <w:szCs w:val="24"/>
          <w:vertAlign w:val="subscript"/>
          <w14:textFill>
            <w14:solidFill>
              <w14:schemeClr w14:val="tx1"/>
            </w14:solidFill>
          </w14:textFill>
        </w:rPr>
        <w:t>CO</w:t>
      </w:r>
      <w:r>
        <w:rPr>
          <w:i/>
          <w:iCs/>
          <w:color w:val="000000" w:themeColor="text1"/>
          <w:sz w:val="24"/>
          <w:szCs w:val="24"/>
          <w14:textFill>
            <w14:solidFill>
              <w14:schemeClr w14:val="tx1"/>
            </w14:solidFill>
          </w14:textFill>
        </w:rPr>
        <w:t>=</w:t>
      </w:r>
      <w:r>
        <w:rPr>
          <w:color w:val="000000" w:themeColor="text1"/>
          <w:sz w:val="24"/>
          <w:szCs w:val="24"/>
          <w14:textFill>
            <w14:solidFill>
              <w14:schemeClr w14:val="tx1"/>
            </w14:solidFill>
          </w14:textFill>
        </w:rPr>
        <w:t>2330Í2%Í90%Í0.266t/s=11.15g/s</w:t>
      </w:r>
    </w:p>
    <w:p>
      <w:pPr>
        <w:ind w:firstLine="560"/>
        <w:rPr>
          <w:color w:val="000000" w:themeColor="text1"/>
          <w:kern w:val="0"/>
          <w14:textFill>
            <w14:solidFill>
              <w14:schemeClr w14:val="tx1"/>
            </w14:solidFill>
          </w14:textFill>
        </w:rPr>
      </w:pPr>
      <w:r>
        <w:rPr>
          <w:color w:val="000000" w:themeColor="text1"/>
          <w14:textFill>
            <w14:solidFill>
              <w14:schemeClr w14:val="tx1"/>
            </w14:solidFill>
          </w14:textFill>
        </w:rPr>
        <w:t>持续时间为30t/0.266t/s=112s</w:t>
      </w:r>
    </w:p>
    <w:p>
      <w:pPr>
        <w:ind w:firstLine="560"/>
        <w:rPr>
          <w:color w:val="000000" w:themeColor="text1"/>
          <w:kern w:val="0"/>
          <w14:textFill>
            <w14:solidFill>
              <w14:schemeClr w14:val="tx1"/>
            </w14:solidFill>
          </w14:textFill>
        </w:rPr>
      </w:pPr>
      <w:r>
        <w:rPr>
          <w:color w:val="000000" w:themeColor="text1"/>
          <w:kern w:val="0"/>
          <w14:textFill>
            <w14:solidFill>
              <w14:schemeClr w14:val="tx1"/>
            </w14:solidFill>
          </w14:textFill>
        </w:rPr>
        <w:t>各事故情况假定及源强汇总见表4-2。</w:t>
      </w:r>
    </w:p>
    <w:p>
      <w:pPr>
        <w:pStyle w:val="55"/>
        <w:rPr>
          <w:color w:val="000000" w:themeColor="text1"/>
          <w14:textFill>
            <w14:solidFill>
              <w14:schemeClr w14:val="tx1"/>
            </w14:solidFill>
          </w14:textFill>
        </w:rPr>
      </w:pPr>
      <w:r>
        <w:rPr>
          <w:color w:val="000000" w:themeColor="text1"/>
          <w14:textFill>
            <w14:solidFill>
              <w14:schemeClr w14:val="tx1"/>
            </w14:solidFill>
          </w14:textFill>
        </w:rPr>
        <w:t>表4-2  本项目涉及的环境风险事故类型及源强表</w:t>
      </w:r>
    </w:p>
    <w:tbl>
      <w:tblPr>
        <w:tblStyle w:val="22"/>
        <w:tblW w:w="5000" w:type="pct"/>
        <w:jc w:val="center"/>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Layout w:type="autofit"/>
        <w:tblCellMar>
          <w:top w:w="0" w:type="dxa"/>
          <w:left w:w="108" w:type="dxa"/>
          <w:bottom w:w="0" w:type="dxa"/>
          <w:right w:w="108" w:type="dxa"/>
        </w:tblCellMar>
      </w:tblPr>
      <w:tblGrid>
        <w:gridCol w:w="2800"/>
        <w:gridCol w:w="1462"/>
        <w:gridCol w:w="2133"/>
        <w:gridCol w:w="2133"/>
      </w:tblGrid>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PrEx>
        <w:trPr>
          <w:jc w:val="center"/>
        </w:trPr>
        <w:tc>
          <w:tcPr>
            <w:tcW w:w="1642" w:type="pct"/>
            <w:shd w:val="clear" w:color="auto" w:fill="auto"/>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装置名称与事故类型</w:t>
            </w:r>
          </w:p>
        </w:tc>
        <w:tc>
          <w:tcPr>
            <w:tcW w:w="857" w:type="pct"/>
            <w:shd w:val="clear" w:color="auto" w:fill="auto"/>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事故状态</w:t>
            </w:r>
          </w:p>
        </w:tc>
        <w:tc>
          <w:tcPr>
            <w:tcW w:w="1250" w:type="pct"/>
            <w:shd w:val="clear" w:color="auto" w:fill="auto"/>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相关危险物质</w:t>
            </w:r>
          </w:p>
        </w:tc>
        <w:tc>
          <w:tcPr>
            <w:tcW w:w="1250" w:type="pct"/>
            <w:shd w:val="clear" w:color="auto" w:fill="auto"/>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危险物质泄漏量</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1642" w:type="pct"/>
            <w:shd w:val="clear" w:color="auto" w:fill="auto"/>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油罐车泄漏进入水体</w:t>
            </w:r>
          </w:p>
        </w:tc>
        <w:tc>
          <w:tcPr>
            <w:tcW w:w="857" w:type="pct"/>
            <w:shd w:val="clear" w:color="auto" w:fill="auto"/>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泄漏</w:t>
            </w:r>
          </w:p>
        </w:tc>
        <w:tc>
          <w:tcPr>
            <w:tcW w:w="1250" w:type="pct"/>
            <w:shd w:val="clear" w:color="auto" w:fill="auto"/>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汽油（柴油）</w:t>
            </w:r>
          </w:p>
        </w:tc>
        <w:tc>
          <w:tcPr>
            <w:tcW w:w="1250" w:type="pct"/>
            <w:shd w:val="clear" w:color="auto" w:fill="auto"/>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30t</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1642" w:type="pct"/>
            <w:shd w:val="clear" w:color="auto" w:fill="auto"/>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油罐车发生破裂</w:t>
            </w:r>
          </w:p>
        </w:tc>
        <w:tc>
          <w:tcPr>
            <w:tcW w:w="857" w:type="pct"/>
            <w:shd w:val="clear" w:color="auto" w:fill="auto"/>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爆炸</w:t>
            </w:r>
          </w:p>
        </w:tc>
        <w:tc>
          <w:tcPr>
            <w:tcW w:w="1250" w:type="pct"/>
            <w:shd w:val="clear" w:color="auto" w:fill="auto"/>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汽油（柴油）</w:t>
            </w:r>
          </w:p>
        </w:tc>
        <w:tc>
          <w:tcPr>
            <w:tcW w:w="1250" w:type="pct"/>
            <w:shd w:val="clear" w:color="auto" w:fill="auto"/>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30t</w:t>
            </w:r>
          </w:p>
        </w:tc>
      </w:tr>
    </w:tbl>
    <w:p>
      <w:pPr>
        <w:pStyle w:val="11"/>
        <w:ind w:firstLine="562"/>
        <w:rPr>
          <w:rFonts w:eastAsia="仿宋"/>
          <w:color w:val="000000" w:themeColor="text1"/>
          <w14:textFill>
            <w14:solidFill>
              <w14:schemeClr w14:val="tx1"/>
            </w14:solidFill>
          </w14:textFill>
        </w:rPr>
      </w:pPr>
      <w:bookmarkStart w:id="136" w:name="_Toc464835057"/>
      <w:bookmarkEnd w:id="136"/>
      <w:bookmarkStart w:id="137" w:name="_Toc69739745"/>
      <w:r>
        <w:rPr>
          <w:rFonts w:eastAsia="仿宋"/>
          <w:color w:val="000000" w:themeColor="text1"/>
          <w14:textFill>
            <w14:solidFill>
              <w14:schemeClr w14:val="tx1"/>
            </w14:solidFill>
          </w14:textFill>
        </w:rPr>
        <w:t>4.2.1 危险品运输事故计算</w:t>
      </w:r>
      <w:bookmarkEnd w:id="137"/>
    </w:p>
    <w:p>
      <w:pPr>
        <w:ind w:firstLine="562"/>
        <w:rPr>
          <w:b/>
          <w:bCs/>
          <w:color w:val="000000" w:themeColor="text1"/>
          <w14:textFill>
            <w14:solidFill>
              <w14:schemeClr w14:val="tx1"/>
            </w14:solidFill>
          </w14:textFill>
        </w:rPr>
      </w:pPr>
      <w:bookmarkStart w:id="138" w:name="_Hlk45586929"/>
      <w:bookmarkEnd w:id="138"/>
      <w:r>
        <w:rPr>
          <w:b/>
          <w:bCs/>
          <w:color w:val="000000" w:themeColor="text1"/>
          <w14:textFill>
            <w14:solidFill>
              <w14:schemeClr w14:val="tx1"/>
            </w14:solidFill>
          </w14:textFill>
        </w:rPr>
        <w:t>（1）运输危险品风险</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化学危险品运输风险度计算模式如下：</w:t>
      </w:r>
    </w:p>
    <w:p>
      <w:pPr>
        <w:ind w:firstLine="560"/>
        <w:jc w:val="center"/>
        <w:rPr>
          <w:color w:val="000000" w:themeColor="text1"/>
          <w14:textFill>
            <w14:solidFill>
              <w14:schemeClr w14:val="tx1"/>
            </w14:solidFill>
          </w14:textFill>
        </w:rPr>
      </w:pPr>
      <w:r>
        <w:rPr>
          <w:snapToGrid w:val="0"/>
          <w:color w:val="000000" w:themeColor="text1"/>
          <w:position w:val="-18"/>
          <w:szCs w:val="28"/>
          <w14:textFill>
            <w14:solidFill>
              <w14:schemeClr w14:val="tx1"/>
            </w14:solidFill>
          </w14:textFill>
        </w:rPr>
        <w:object>
          <v:shape id="_x0000_i1025" o:spt="75" type="#_x0000_t75" style="height:29.95pt;width:203.35pt;" o:ole="t" filled="f" o:preferrelative="t" stroked="f" coordsize="21600,21600">
            <v:path/>
            <v:fill on="f" focussize="0,0"/>
            <v:stroke on="f" joinstyle="miter"/>
            <v:imagedata r:id="rId29" o:title=""/>
            <o:lock v:ext="edit" aspectratio="t"/>
            <w10:wrap type="none"/>
            <w10:anchorlock/>
          </v:shape>
          <o:OLEObject Type="Embed" ProgID="Equation.3" ShapeID="_x0000_i1025" DrawAspect="Content" ObjectID="_1468075726" r:id="rId28">
            <o:LockedField>false</o:LockedField>
          </o:OLEObject>
        </w:objec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式中：</w:t>
      </w:r>
    </w:p>
    <w:p>
      <w:pPr>
        <w:ind w:firstLine="48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P--预测年水域路段发生化学品事故风险的概率，次/年；</w:t>
      </w:r>
    </w:p>
    <w:p>
      <w:pPr>
        <w:ind w:firstLine="48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Q</w:t>
      </w:r>
      <w:r>
        <w:rPr>
          <w:color w:val="000000" w:themeColor="text1"/>
          <w:sz w:val="24"/>
          <w:szCs w:val="24"/>
          <w:vertAlign w:val="subscript"/>
          <w14:textFill>
            <w14:solidFill>
              <w14:schemeClr w14:val="tx1"/>
            </w14:solidFill>
          </w14:textFill>
        </w:rPr>
        <w:t>1</w:t>
      </w:r>
      <w:r>
        <w:rPr>
          <w:color w:val="000000" w:themeColor="text1"/>
          <w:sz w:val="24"/>
          <w:szCs w:val="24"/>
          <w14:textFill>
            <w14:solidFill>
              <w14:schemeClr w14:val="tx1"/>
            </w14:solidFill>
          </w14:textFill>
        </w:rPr>
        <w:t>--该地区目前车辆相撞翻车等重大交通事故概率，次/百万辆·km；</w:t>
      </w:r>
    </w:p>
    <w:p>
      <w:pPr>
        <w:ind w:firstLine="48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Q</w:t>
      </w:r>
      <w:r>
        <w:rPr>
          <w:color w:val="000000" w:themeColor="text1"/>
          <w:sz w:val="24"/>
          <w:szCs w:val="24"/>
          <w:vertAlign w:val="subscript"/>
          <w14:textFill>
            <w14:solidFill>
              <w14:schemeClr w14:val="tx1"/>
            </w14:solidFill>
          </w14:textFill>
        </w:rPr>
        <w:t>2</w:t>
      </w:r>
      <w:r>
        <w:rPr>
          <w:color w:val="000000" w:themeColor="text1"/>
          <w:sz w:val="24"/>
          <w:szCs w:val="24"/>
          <w14:textFill>
            <w14:solidFill>
              <w14:schemeClr w14:val="tx1"/>
            </w14:solidFill>
          </w14:textFill>
        </w:rPr>
        <w:t>--预测年份的年绝对交通量，百万辆/年；</w:t>
      </w:r>
    </w:p>
    <w:p>
      <w:pPr>
        <w:ind w:firstLine="48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Q</w:t>
      </w:r>
      <w:r>
        <w:rPr>
          <w:color w:val="000000" w:themeColor="text1"/>
          <w:sz w:val="24"/>
          <w:szCs w:val="24"/>
          <w:vertAlign w:val="subscript"/>
          <w14:textFill>
            <w14:solidFill>
              <w14:schemeClr w14:val="tx1"/>
            </w14:solidFill>
          </w14:textFill>
        </w:rPr>
        <w:t>3</w:t>
      </w:r>
      <w:r>
        <w:rPr>
          <w:color w:val="000000" w:themeColor="text1"/>
          <w:sz w:val="24"/>
          <w:szCs w:val="24"/>
          <w14:textFill>
            <w14:solidFill>
              <w14:schemeClr w14:val="tx1"/>
            </w14:solidFill>
          </w14:textFill>
        </w:rPr>
        <w:t>--高速公路上交通事故的发生率，%；</w:t>
      </w:r>
    </w:p>
    <w:p>
      <w:pPr>
        <w:ind w:firstLine="48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Q</w:t>
      </w:r>
      <w:r>
        <w:rPr>
          <w:color w:val="000000" w:themeColor="text1"/>
          <w:sz w:val="24"/>
          <w:szCs w:val="24"/>
          <w:vertAlign w:val="subscript"/>
          <w14:textFill>
            <w14:solidFill>
              <w14:schemeClr w14:val="tx1"/>
            </w14:solidFill>
          </w14:textFill>
        </w:rPr>
        <w:t>4</w:t>
      </w:r>
      <w:r>
        <w:rPr>
          <w:color w:val="000000" w:themeColor="text1"/>
          <w:sz w:val="24"/>
          <w:szCs w:val="24"/>
          <w14:textFill>
            <w14:solidFill>
              <w14:schemeClr w14:val="tx1"/>
            </w14:solidFill>
          </w14:textFill>
        </w:rPr>
        <w:t>--货车占总交通量的比例，%；</w:t>
      </w:r>
    </w:p>
    <w:p>
      <w:pPr>
        <w:ind w:firstLine="48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Q</w:t>
      </w:r>
      <w:r>
        <w:rPr>
          <w:color w:val="000000" w:themeColor="text1"/>
          <w:sz w:val="24"/>
          <w:szCs w:val="24"/>
          <w:vertAlign w:val="subscript"/>
          <w14:textFill>
            <w14:solidFill>
              <w14:schemeClr w14:val="tx1"/>
            </w14:solidFill>
          </w14:textFill>
        </w:rPr>
        <w:t>5</w:t>
      </w:r>
      <w:r>
        <w:rPr>
          <w:color w:val="000000" w:themeColor="text1"/>
          <w:sz w:val="24"/>
          <w:szCs w:val="24"/>
          <w14:textFill>
            <w14:solidFill>
              <w14:schemeClr w14:val="tx1"/>
            </w14:solidFill>
          </w14:textFill>
        </w:rPr>
        <w:t>--运输化学危险品车辆占货车比率，%；</w:t>
      </w:r>
    </w:p>
    <w:p>
      <w:pPr>
        <w:ind w:firstLine="480"/>
        <w:rPr>
          <w:color w:val="000000" w:themeColor="text1"/>
          <w14:textFill>
            <w14:solidFill>
              <w14:schemeClr w14:val="tx1"/>
            </w14:solidFill>
          </w14:textFill>
        </w:rPr>
      </w:pPr>
      <w:r>
        <w:rPr>
          <w:color w:val="000000" w:themeColor="text1"/>
          <w:sz w:val="24"/>
          <w:szCs w:val="24"/>
          <w14:textFill>
            <w14:solidFill>
              <w14:schemeClr w14:val="tx1"/>
            </w14:solidFill>
          </w14:textFill>
        </w:rPr>
        <w:t>Q</w:t>
      </w:r>
      <w:r>
        <w:rPr>
          <w:color w:val="000000" w:themeColor="text1"/>
          <w:sz w:val="24"/>
          <w:szCs w:val="24"/>
          <w:vertAlign w:val="subscript"/>
          <w14:textFill>
            <w14:solidFill>
              <w14:schemeClr w14:val="tx1"/>
            </w14:solidFill>
          </w14:textFill>
        </w:rPr>
        <w:t>6</w:t>
      </w:r>
      <w:r>
        <w:rPr>
          <w:color w:val="000000" w:themeColor="text1"/>
          <w:sz w:val="24"/>
          <w:szCs w:val="24"/>
          <w14:textFill>
            <w14:solidFill>
              <w14:schemeClr w14:val="tx1"/>
            </w14:solidFill>
          </w14:textFill>
        </w:rPr>
        <w:t>--考核路段（全路段或水域路段）长度，km。</w:t>
      </w:r>
    </w:p>
    <w:p>
      <w:pPr>
        <w:ind w:firstLine="562"/>
        <w:rPr>
          <w:b/>
          <w:bCs/>
          <w:color w:val="000000" w:themeColor="text1"/>
          <w14:textFill>
            <w14:solidFill>
              <w14:schemeClr w14:val="tx1"/>
            </w14:solidFill>
          </w14:textFill>
        </w:rPr>
      </w:pPr>
      <w:bookmarkStart w:id="139" w:name="_Hlk7052739"/>
      <w:bookmarkEnd w:id="139"/>
      <w:r>
        <w:rPr>
          <w:b/>
          <w:bCs/>
          <w:color w:val="000000" w:themeColor="text1"/>
          <w14:textFill>
            <w14:solidFill>
              <w14:schemeClr w14:val="tx1"/>
            </w14:solidFill>
          </w14:textFill>
        </w:rPr>
        <w:t>（2）事故风险概率估算</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各参数取值如下：</w:t>
      </w:r>
    </w:p>
    <w:p>
      <w:pPr>
        <w:ind w:firstLine="48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Q</w:t>
      </w:r>
      <w:r>
        <w:rPr>
          <w:color w:val="000000" w:themeColor="text1"/>
          <w:sz w:val="24"/>
          <w:szCs w:val="24"/>
          <w:vertAlign w:val="subscript"/>
          <w14:textFill>
            <w14:solidFill>
              <w14:schemeClr w14:val="tx1"/>
            </w14:solidFill>
          </w14:textFill>
        </w:rPr>
        <w:t>1</w:t>
      </w:r>
      <w:r>
        <w:rPr>
          <w:color w:val="000000" w:themeColor="text1"/>
          <w:sz w:val="24"/>
          <w:szCs w:val="24"/>
          <w14:textFill>
            <w14:solidFill>
              <w14:schemeClr w14:val="tx1"/>
            </w14:solidFill>
          </w14:textFill>
        </w:rPr>
        <w:t>--参考同类地区交通事故频率，取Q1＝0.2次/百万辆·km；</w:t>
      </w:r>
    </w:p>
    <w:p>
      <w:pPr>
        <w:ind w:firstLine="48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Q</w:t>
      </w:r>
      <w:r>
        <w:rPr>
          <w:color w:val="000000" w:themeColor="text1"/>
          <w:sz w:val="24"/>
          <w:szCs w:val="24"/>
          <w:vertAlign w:val="subscript"/>
          <w14:textFill>
            <w14:solidFill>
              <w14:schemeClr w14:val="tx1"/>
            </w14:solidFill>
          </w14:textFill>
        </w:rPr>
        <w:t>2</w:t>
      </w:r>
      <w:r>
        <w:rPr>
          <w:color w:val="000000" w:themeColor="text1"/>
          <w:sz w:val="24"/>
          <w:szCs w:val="24"/>
          <w14:textFill>
            <w14:solidFill>
              <w14:schemeClr w14:val="tx1"/>
            </w14:solidFill>
          </w14:textFill>
        </w:rPr>
        <w:t>--根据本公路预测交通量（绝对值）；</w:t>
      </w:r>
    </w:p>
    <w:p>
      <w:pPr>
        <w:ind w:firstLine="48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Q</w:t>
      </w:r>
      <w:r>
        <w:rPr>
          <w:color w:val="000000" w:themeColor="text1"/>
          <w:sz w:val="24"/>
          <w:szCs w:val="24"/>
          <w:vertAlign w:val="subscript"/>
          <w14:textFill>
            <w14:solidFill>
              <w14:schemeClr w14:val="tx1"/>
            </w14:solidFill>
          </w14:textFill>
        </w:rPr>
        <w:t>3</w:t>
      </w:r>
      <w:r>
        <w:rPr>
          <w:color w:val="000000" w:themeColor="text1"/>
          <w:sz w:val="24"/>
          <w:szCs w:val="24"/>
          <w14:textFill>
            <w14:solidFill>
              <w14:schemeClr w14:val="tx1"/>
            </w14:solidFill>
          </w14:textFill>
        </w:rPr>
        <w:t>--根据美国车辆交通安全报告，高速公路比一般公路事故降低率为75%，故Q</w:t>
      </w:r>
      <w:r>
        <w:rPr>
          <w:color w:val="000000" w:themeColor="text1"/>
          <w:sz w:val="24"/>
          <w:szCs w:val="24"/>
          <w:vertAlign w:val="subscript"/>
          <w14:textFill>
            <w14:solidFill>
              <w14:schemeClr w14:val="tx1"/>
            </w14:solidFill>
          </w14:textFill>
        </w:rPr>
        <w:t>3</w:t>
      </w:r>
      <w:r>
        <w:rPr>
          <w:color w:val="000000" w:themeColor="text1"/>
          <w:sz w:val="24"/>
          <w:szCs w:val="24"/>
          <w14:textFill>
            <w14:solidFill>
              <w14:schemeClr w14:val="tx1"/>
            </w14:solidFill>
          </w14:textFill>
        </w:rPr>
        <w:t>＝25%；</w:t>
      </w:r>
    </w:p>
    <w:p>
      <w:pPr>
        <w:ind w:firstLine="48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Q</w:t>
      </w:r>
      <w:r>
        <w:rPr>
          <w:color w:val="000000" w:themeColor="text1"/>
          <w:sz w:val="24"/>
          <w:szCs w:val="24"/>
          <w:vertAlign w:val="subscript"/>
          <w14:textFill>
            <w14:solidFill>
              <w14:schemeClr w14:val="tx1"/>
            </w14:solidFill>
          </w14:textFill>
        </w:rPr>
        <w:t>4</w:t>
      </w:r>
      <w:r>
        <w:rPr>
          <w:color w:val="000000" w:themeColor="text1"/>
          <w:sz w:val="24"/>
          <w:szCs w:val="24"/>
          <w14:textFill>
            <w14:solidFill>
              <w14:schemeClr w14:val="tx1"/>
            </w14:solidFill>
          </w14:textFill>
        </w:rPr>
        <w:t>--根据预测，近期、中期、远期各取</w:t>
      </w:r>
      <w:r>
        <w:rPr>
          <w:rFonts w:hint="eastAsia"/>
          <w:color w:val="000000" w:themeColor="text1"/>
          <w:sz w:val="24"/>
          <w:szCs w:val="24"/>
          <w:lang w:val="en-US" w:eastAsia="zh-CN"/>
          <w14:textFill>
            <w14:solidFill>
              <w14:schemeClr w14:val="tx1"/>
            </w14:solidFill>
          </w14:textFill>
        </w:rPr>
        <w:t>25.2</w:t>
      </w:r>
      <w:r>
        <w:rPr>
          <w:color w:val="000000" w:themeColor="text1"/>
          <w:sz w:val="24"/>
          <w:szCs w:val="24"/>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24.4</w:t>
      </w:r>
      <w:r>
        <w:rPr>
          <w:color w:val="000000" w:themeColor="text1"/>
          <w:sz w:val="24"/>
          <w:szCs w:val="24"/>
          <w14:textFill>
            <w14:solidFill>
              <w14:schemeClr w14:val="tx1"/>
            </w14:solidFill>
          </w14:textFill>
        </w:rPr>
        <w:t>%、</w:t>
      </w:r>
      <w:r>
        <w:rPr>
          <w:rFonts w:hint="eastAsia"/>
          <w:color w:val="000000" w:themeColor="text1"/>
          <w:sz w:val="24"/>
          <w:szCs w:val="24"/>
          <w:lang w:val="en-US" w:eastAsia="zh-CN"/>
          <w14:textFill>
            <w14:solidFill>
              <w14:schemeClr w14:val="tx1"/>
            </w14:solidFill>
          </w14:textFill>
        </w:rPr>
        <w:t>23.6</w:t>
      </w:r>
      <w:r>
        <w:rPr>
          <w:color w:val="000000" w:themeColor="text1"/>
          <w:sz w:val="24"/>
          <w:szCs w:val="24"/>
          <w14:textFill>
            <w14:solidFill>
              <w14:schemeClr w14:val="tx1"/>
            </w14:solidFill>
          </w14:textFill>
        </w:rPr>
        <w:t>%；</w:t>
      </w:r>
    </w:p>
    <w:p>
      <w:pPr>
        <w:ind w:firstLine="480"/>
        <w:rPr>
          <w:color w:val="000000" w:themeColor="text1"/>
          <w:sz w:val="24"/>
          <w:szCs w:val="24"/>
          <w14:textFill>
            <w14:solidFill>
              <w14:schemeClr w14:val="tx1"/>
            </w14:solidFill>
          </w14:textFill>
        </w:rPr>
      </w:pPr>
      <w:r>
        <w:rPr>
          <w:color w:val="000000" w:themeColor="text1"/>
          <w:sz w:val="24"/>
          <w:szCs w:val="24"/>
          <w14:textFill>
            <w14:solidFill>
              <w14:schemeClr w14:val="tx1"/>
            </w14:solidFill>
          </w14:textFill>
        </w:rPr>
        <w:t>Q</w:t>
      </w:r>
      <w:r>
        <w:rPr>
          <w:color w:val="000000" w:themeColor="text1"/>
          <w:sz w:val="24"/>
          <w:szCs w:val="24"/>
          <w:vertAlign w:val="subscript"/>
          <w14:textFill>
            <w14:solidFill>
              <w14:schemeClr w14:val="tx1"/>
            </w14:solidFill>
          </w14:textFill>
        </w:rPr>
        <w:t>5</w:t>
      </w:r>
      <w:r>
        <w:rPr>
          <w:color w:val="000000" w:themeColor="text1"/>
          <w:sz w:val="24"/>
          <w:szCs w:val="24"/>
          <w14:textFill>
            <w14:solidFill>
              <w14:schemeClr w14:val="tx1"/>
            </w14:solidFill>
          </w14:textFill>
        </w:rPr>
        <w:t>--</w:t>
      </w:r>
      <w:r>
        <w:rPr>
          <w:rFonts w:hint="eastAsia"/>
          <w:color w:val="000000" w:themeColor="text1"/>
          <w:sz w:val="24"/>
          <w:szCs w:val="24"/>
          <w:lang w:eastAsia="zh-CN"/>
          <w14:textFill>
            <w14:solidFill>
              <w14:schemeClr w14:val="tx1"/>
            </w14:solidFill>
          </w14:textFill>
        </w:rPr>
        <w:t>根据项目情况</w:t>
      </w:r>
      <w:r>
        <w:rPr>
          <w:rFonts w:hint="eastAsia"/>
          <w:color w:val="000000" w:themeColor="text1"/>
          <w:sz w:val="24"/>
          <w:szCs w:val="24"/>
          <w14:textFill>
            <w14:solidFill>
              <w14:schemeClr w14:val="tx1"/>
            </w14:solidFill>
          </w14:textFill>
        </w:rPr>
        <w:t>，取3</w:t>
      </w:r>
      <w:r>
        <w:rPr>
          <w:color w:val="000000" w:themeColor="text1"/>
          <w:sz w:val="24"/>
          <w:szCs w:val="24"/>
          <w14:textFill>
            <w14:solidFill>
              <w14:schemeClr w14:val="tx1"/>
            </w14:solidFill>
          </w14:textFill>
        </w:rPr>
        <w:t>.98%；</w:t>
      </w:r>
    </w:p>
    <w:p>
      <w:pPr>
        <w:ind w:firstLine="480"/>
        <w:rPr>
          <w:color w:val="000000" w:themeColor="text1"/>
          <w14:textFill>
            <w14:solidFill>
              <w14:schemeClr w14:val="tx1"/>
            </w14:solidFill>
          </w14:textFill>
        </w:rPr>
      </w:pPr>
      <w:r>
        <w:rPr>
          <w:color w:val="000000" w:themeColor="text1"/>
          <w:sz w:val="24"/>
          <w:szCs w:val="24"/>
          <w14:textFill>
            <w14:solidFill>
              <w14:schemeClr w14:val="tx1"/>
            </w14:solidFill>
          </w14:textFill>
        </w:rPr>
        <w:t>Q</w:t>
      </w:r>
      <w:r>
        <w:rPr>
          <w:color w:val="000000" w:themeColor="text1"/>
          <w:sz w:val="24"/>
          <w:szCs w:val="24"/>
          <w:vertAlign w:val="subscript"/>
          <w14:textFill>
            <w14:solidFill>
              <w14:schemeClr w14:val="tx1"/>
            </w14:solidFill>
          </w14:textFill>
        </w:rPr>
        <w:t>6</w:t>
      </w:r>
      <w:r>
        <w:rPr>
          <w:color w:val="000000" w:themeColor="text1"/>
          <w:sz w:val="24"/>
          <w:szCs w:val="24"/>
          <w14:textFill>
            <w14:solidFill>
              <w14:schemeClr w14:val="tx1"/>
            </w14:solidFill>
          </w14:textFill>
        </w:rPr>
        <w:t>--跨河桥梁及伴行路段长度。</w:t>
      </w:r>
    </w:p>
    <w:p>
      <w:pPr>
        <w:ind w:firstLine="560"/>
        <w:rPr>
          <w:color w:val="000000" w:themeColor="text1"/>
          <w:highlight w:val="none"/>
          <w14:textFill>
            <w14:solidFill>
              <w14:schemeClr w14:val="tx1"/>
            </w14:solidFill>
          </w14:textFill>
        </w:rPr>
      </w:pPr>
      <w:r>
        <w:rPr>
          <w:color w:val="000000" w:themeColor="text1"/>
          <w14:textFill>
            <w14:solidFill>
              <w14:schemeClr w14:val="tx1"/>
            </w14:solidFill>
          </w14:textFill>
        </w:rPr>
        <w:t>各水域路段在评价年的</w:t>
      </w:r>
      <w:r>
        <w:rPr>
          <w:rFonts w:hint="eastAsia"/>
          <w:color w:val="000000" w:themeColor="text1"/>
          <w:highlight w:val="none"/>
          <w14:textFill>
            <w14:solidFill>
              <w14:schemeClr w14:val="tx1"/>
            </w14:solidFill>
          </w14:textFill>
        </w:rPr>
        <w:t>交通量及</w:t>
      </w:r>
      <w:r>
        <w:rPr>
          <w:color w:val="000000" w:themeColor="text1"/>
          <w:highlight w:val="none"/>
          <w14:textFill>
            <w14:solidFill>
              <w14:schemeClr w14:val="tx1"/>
            </w14:solidFill>
          </w14:textFill>
        </w:rPr>
        <w:t>事故风险概率计算结果列于下表。</w:t>
      </w:r>
    </w:p>
    <w:p>
      <w:pPr>
        <w:pStyle w:val="55"/>
        <w:rPr>
          <w:color w:val="000000" w:themeColor="text1"/>
          <w:sz w:val="21"/>
          <w:szCs w:val="21"/>
          <w:highlight w:val="none"/>
          <w14:textFill>
            <w14:solidFill>
              <w14:schemeClr w14:val="tx1"/>
            </w14:solidFill>
          </w14:textFill>
        </w:rPr>
      </w:pPr>
      <w:r>
        <w:rPr>
          <w:color w:val="000000" w:themeColor="text1"/>
          <w:sz w:val="21"/>
          <w:szCs w:val="21"/>
          <w:highlight w:val="none"/>
          <w14:textFill>
            <w14:solidFill>
              <w14:schemeClr w14:val="tx1"/>
            </w14:solidFill>
          </w14:textFill>
        </w:rPr>
        <w:t xml:space="preserve">表4-3  </w:t>
      </w:r>
      <w:r>
        <w:rPr>
          <w:rFonts w:hint="eastAsia"/>
          <w:color w:val="000000" w:themeColor="text1"/>
          <w:sz w:val="21"/>
          <w:szCs w:val="21"/>
          <w:highlight w:val="none"/>
          <w14:textFill>
            <w14:solidFill>
              <w14:schemeClr w14:val="tx1"/>
            </w14:solidFill>
          </w14:textFill>
        </w:rPr>
        <w:t>预测年交通量（百万辆/年）</w:t>
      </w:r>
    </w:p>
    <w:tbl>
      <w:tblPr>
        <w:tblStyle w:val="2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833"/>
        <w:gridCol w:w="1834"/>
        <w:gridCol w:w="1667"/>
        <w:gridCol w:w="1665"/>
        <w:gridCol w:w="152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jc w:val="center"/>
        </w:trPr>
        <w:tc>
          <w:tcPr>
            <w:tcW w:w="1075" w:type="pct"/>
            <w:vMerge w:val="restar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跨越（伴行）河流名称</w:t>
            </w:r>
          </w:p>
        </w:tc>
        <w:tc>
          <w:tcPr>
            <w:tcW w:w="1075" w:type="pct"/>
            <w:vMerge w:val="restart"/>
            <w:shd w:val="clear" w:color="auto" w:fill="auto"/>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敏感</w:t>
            </w:r>
            <w:r>
              <w:rPr>
                <w:color w:val="000000" w:themeColor="text1"/>
                <w:sz w:val="21"/>
                <w:szCs w:val="21"/>
                <w14:textFill>
                  <w14:solidFill>
                    <w14:schemeClr w14:val="tx1"/>
                  </w14:solidFill>
                </w14:textFill>
              </w:rPr>
              <w:t>路段（桥梁）长度（km）</w:t>
            </w:r>
          </w:p>
        </w:tc>
        <w:tc>
          <w:tcPr>
            <w:tcW w:w="2849" w:type="pct"/>
            <w:gridSpan w:val="3"/>
            <w:shd w:val="clear" w:color="auto" w:fill="auto"/>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交通量</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075" w:type="pct"/>
            <w:vMerge w:val="continue"/>
            <w:shd w:val="clear" w:color="auto" w:fill="auto"/>
            <w:vAlign w:val="center"/>
          </w:tcPr>
          <w:p>
            <w:pPr>
              <w:pStyle w:val="58"/>
              <w:rPr>
                <w:color w:val="000000" w:themeColor="text1"/>
                <w:sz w:val="21"/>
                <w:szCs w:val="21"/>
                <w14:textFill>
                  <w14:solidFill>
                    <w14:schemeClr w14:val="tx1"/>
                  </w14:solidFill>
                </w14:textFill>
              </w:rPr>
            </w:pPr>
          </w:p>
        </w:tc>
        <w:tc>
          <w:tcPr>
            <w:tcW w:w="1075" w:type="pct"/>
            <w:vMerge w:val="continue"/>
            <w:shd w:val="clear" w:color="auto" w:fill="auto"/>
            <w:vAlign w:val="center"/>
          </w:tcPr>
          <w:p>
            <w:pPr>
              <w:pStyle w:val="58"/>
              <w:rPr>
                <w:color w:val="000000" w:themeColor="text1"/>
                <w:sz w:val="21"/>
                <w:szCs w:val="21"/>
                <w14:textFill>
                  <w14:solidFill>
                    <w14:schemeClr w14:val="tx1"/>
                  </w14:solidFill>
                </w14:textFill>
              </w:rPr>
            </w:pPr>
          </w:p>
        </w:tc>
        <w:tc>
          <w:tcPr>
            <w:tcW w:w="977"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近期</w:t>
            </w:r>
          </w:p>
        </w:tc>
        <w:tc>
          <w:tcPr>
            <w:tcW w:w="976"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中期</w:t>
            </w:r>
          </w:p>
        </w:tc>
        <w:tc>
          <w:tcPr>
            <w:tcW w:w="895"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远期</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075" w:type="pct"/>
            <w:shd w:val="clear" w:color="auto" w:fill="auto"/>
            <w:vAlign w:val="center"/>
          </w:tcPr>
          <w:p>
            <w:pPr>
              <w:pStyle w:val="58"/>
              <w:rPr>
                <w:rFonts w:hint="eastAsia" w:eastAsia="仿宋"/>
                <w:color w:val="000000" w:themeColor="text1"/>
                <w:sz w:val="21"/>
                <w:szCs w:val="21"/>
                <w:lang w:eastAsia="zh-CN"/>
                <w14:textFill>
                  <w14:solidFill>
                    <w14:schemeClr w14:val="tx1"/>
                  </w14:solidFill>
                </w14:textFill>
              </w:rPr>
            </w:pPr>
            <w:r>
              <w:rPr>
                <w:rStyle w:val="67"/>
                <w:rFonts w:hint="eastAsia"/>
                <w:b w:val="0"/>
                <w:color w:val="000000" w:themeColor="text1"/>
                <w:sz w:val="21"/>
                <w:szCs w:val="21"/>
                <w:lang w:eastAsia="zh-CN"/>
                <w14:textFill>
                  <w14:solidFill>
                    <w14:schemeClr w14:val="tx1"/>
                  </w14:solidFill>
                </w14:textFill>
              </w:rPr>
              <w:t>渭河</w:t>
            </w:r>
          </w:p>
        </w:tc>
        <w:tc>
          <w:tcPr>
            <w:tcW w:w="1075" w:type="pct"/>
            <w:shd w:val="clear" w:color="auto" w:fill="auto"/>
            <w:vAlign w:val="center"/>
          </w:tcPr>
          <w:p>
            <w:pPr>
              <w:pStyle w:val="58"/>
              <w:rPr>
                <w:rFonts w:hint="default" w:eastAsia="仿宋"/>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0.350</w:t>
            </w:r>
          </w:p>
        </w:tc>
        <w:tc>
          <w:tcPr>
            <w:tcW w:w="977" w:type="pct"/>
            <w:shd w:val="clear" w:color="auto" w:fill="auto"/>
            <w:vAlign w:val="center"/>
          </w:tcPr>
          <w:p>
            <w:pPr>
              <w:pStyle w:val="58"/>
              <w:rPr>
                <w:rFonts w:hint="default" w:eastAsia="仿宋"/>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1.12</w:t>
            </w:r>
          </w:p>
        </w:tc>
        <w:tc>
          <w:tcPr>
            <w:tcW w:w="976" w:type="pct"/>
            <w:shd w:val="clear" w:color="auto" w:fill="auto"/>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3</w:t>
            </w:r>
            <w:r>
              <w:rPr>
                <w:color w:val="000000" w:themeColor="text1"/>
                <w:sz w:val="21"/>
                <w:szCs w:val="21"/>
                <w14:textFill>
                  <w14:solidFill>
                    <w14:schemeClr w14:val="tx1"/>
                  </w14:solidFill>
                </w14:textFill>
              </w:rPr>
              <w:t>.57</w:t>
            </w:r>
          </w:p>
        </w:tc>
        <w:tc>
          <w:tcPr>
            <w:tcW w:w="895" w:type="pct"/>
            <w:shd w:val="clear" w:color="auto" w:fill="auto"/>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6</w:t>
            </w:r>
            <w:r>
              <w:rPr>
                <w:color w:val="000000" w:themeColor="text1"/>
                <w:sz w:val="21"/>
                <w:szCs w:val="21"/>
                <w14:textFill>
                  <w14:solidFill>
                    <w14:schemeClr w14:val="tx1"/>
                  </w14:solidFill>
                </w14:textFill>
              </w:rPr>
              <w:t>.47</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075" w:type="pct"/>
            <w:shd w:val="clear" w:color="auto" w:fill="auto"/>
            <w:vAlign w:val="center"/>
          </w:tcPr>
          <w:p>
            <w:pPr>
              <w:pStyle w:val="58"/>
              <w:rPr>
                <w:rFonts w:hint="eastAsia" w:eastAsia="仿宋"/>
                <w:color w:val="000000" w:themeColor="text1"/>
                <w:sz w:val="21"/>
                <w:szCs w:val="21"/>
                <w:lang w:eastAsia="zh-CN"/>
                <w14:textFill>
                  <w14:solidFill>
                    <w14:schemeClr w14:val="tx1"/>
                  </w14:solidFill>
                </w14:textFill>
              </w:rPr>
            </w:pPr>
            <w:r>
              <w:rPr>
                <w:rStyle w:val="67"/>
                <w:rFonts w:hint="eastAsia"/>
                <w:b w:val="0"/>
                <w:color w:val="000000" w:themeColor="text1"/>
                <w:sz w:val="21"/>
                <w:szCs w:val="21"/>
                <w:lang w:eastAsia="zh-CN"/>
                <w14:textFill>
                  <w14:solidFill>
                    <w14:schemeClr w14:val="tx1"/>
                  </w14:solidFill>
                </w14:textFill>
              </w:rPr>
              <w:t>灞河</w:t>
            </w:r>
          </w:p>
        </w:tc>
        <w:tc>
          <w:tcPr>
            <w:tcW w:w="1075" w:type="pct"/>
            <w:shd w:val="clear" w:color="auto" w:fill="auto"/>
            <w:vAlign w:val="center"/>
          </w:tcPr>
          <w:p>
            <w:pPr>
              <w:pStyle w:val="58"/>
              <w:rPr>
                <w:rFonts w:hint="default" w:eastAsia="仿宋"/>
                <w:color w:val="000000" w:themeColor="text1"/>
                <w:sz w:val="21"/>
                <w:szCs w:val="21"/>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1.415</w:t>
            </w:r>
          </w:p>
        </w:tc>
        <w:tc>
          <w:tcPr>
            <w:tcW w:w="977" w:type="pct"/>
            <w:shd w:val="clear" w:color="auto" w:fill="auto"/>
            <w:vAlign w:val="center"/>
          </w:tcPr>
          <w:p>
            <w:pPr>
              <w:pStyle w:val="58"/>
              <w:rPr>
                <w:rFonts w:hint="default" w:eastAsia="仿宋"/>
                <w:color w:val="000000" w:themeColor="text1"/>
                <w:sz w:val="21"/>
                <w:szCs w:val="21"/>
                <w:highlight w:val="yellow"/>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5.1</w:t>
            </w:r>
          </w:p>
        </w:tc>
        <w:tc>
          <w:tcPr>
            <w:tcW w:w="976" w:type="pct"/>
            <w:shd w:val="clear" w:color="auto" w:fill="auto"/>
            <w:vAlign w:val="center"/>
          </w:tcPr>
          <w:p>
            <w:pPr>
              <w:pStyle w:val="58"/>
              <w:rPr>
                <w:rFonts w:hint="default" w:eastAsia="仿宋"/>
                <w:color w:val="000000" w:themeColor="text1"/>
                <w:sz w:val="21"/>
                <w:szCs w:val="21"/>
                <w:highlight w:val="yellow"/>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6.80</w:t>
            </w:r>
          </w:p>
        </w:tc>
        <w:tc>
          <w:tcPr>
            <w:tcW w:w="895" w:type="pct"/>
            <w:shd w:val="clear" w:color="auto" w:fill="auto"/>
            <w:vAlign w:val="center"/>
          </w:tcPr>
          <w:p>
            <w:pPr>
              <w:pStyle w:val="58"/>
              <w:rPr>
                <w:rFonts w:hint="default" w:eastAsia="仿宋"/>
                <w:color w:val="000000" w:themeColor="text1"/>
                <w:sz w:val="21"/>
                <w:szCs w:val="21"/>
                <w:highlight w:val="yellow"/>
                <w:lang w:val="en-US" w:eastAsia="zh-CN"/>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9.06</w:t>
            </w:r>
          </w:p>
        </w:tc>
      </w:tr>
    </w:tbl>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表4-4  公路危险品运输风险度（次/年）</w:t>
      </w:r>
    </w:p>
    <w:tbl>
      <w:tblPr>
        <w:tblStyle w:val="2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834"/>
        <w:gridCol w:w="1834"/>
        <w:gridCol w:w="1667"/>
        <w:gridCol w:w="1665"/>
        <w:gridCol w:w="152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jc w:val="center"/>
        </w:trPr>
        <w:tc>
          <w:tcPr>
            <w:tcW w:w="1075" w:type="pct"/>
            <w:vMerge w:val="restar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跨越（伴行）河流名称</w:t>
            </w:r>
          </w:p>
        </w:tc>
        <w:tc>
          <w:tcPr>
            <w:tcW w:w="1075" w:type="pct"/>
            <w:vMerge w:val="restart"/>
            <w:shd w:val="clear" w:color="auto" w:fill="auto"/>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敏感</w:t>
            </w:r>
            <w:r>
              <w:rPr>
                <w:color w:val="000000" w:themeColor="text1"/>
                <w:sz w:val="21"/>
                <w:szCs w:val="21"/>
                <w14:textFill>
                  <w14:solidFill>
                    <w14:schemeClr w14:val="tx1"/>
                  </w14:solidFill>
                </w14:textFill>
              </w:rPr>
              <w:t>路段（桥梁）长度（km）</w:t>
            </w:r>
          </w:p>
        </w:tc>
        <w:tc>
          <w:tcPr>
            <w:tcW w:w="2848" w:type="pct"/>
            <w:gridSpan w:val="3"/>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交通事故风险度</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075" w:type="pct"/>
            <w:vMerge w:val="continue"/>
            <w:shd w:val="clear" w:color="auto" w:fill="auto"/>
            <w:vAlign w:val="center"/>
          </w:tcPr>
          <w:p>
            <w:pPr>
              <w:pStyle w:val="58"/>
              <w:rPr>
                <w:color w:val="000000" w:themeColor="text1"/>
                <w:sz w:val="21"/>
                <w:szCs w:val="21"/>
                <w14:textFill>
                  <w14:solidFill>
                    <w14:schemeClr w14:val="tx1"/>
                  </w14:solidFill>
                </w14:textFill>
              </w:rPr>
            </w:pPr>
          </w:p>
        </w:tc>
        <w:tc>
          <w:tcPr>
            <w:tcW w:w="1075" w:type="pct"/>
            <w:vMerge w:val="continue"/>
            <w:shd w:val="clear" w:color="auto" w:fill="auto"/>
            <w:vAlign w:val="center"/>
          </w:tcPr>
          <w:p>
            <w:pPr>
              <w:pStyle w:val="58"/>
              <w:rPr>
                <w:color w:val="000000" w:themeColor="text1"/>
                <w:sz w:val="21"/>
                <w:szCs w:val="21"/>
                <w14:textFill>
                  <w14:solidFill>
                    <w14:schemeClr w14:val="tx1"/>
                  </w14:solidFill>
                </w14:textFill>
              </w:rPr>
            </w:pPr>
          </w:p>
        </w:tc>
        <w:tc>
          <w:tcPr>
            <w:tcW w:w="977"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近期</w:t>
            </w:r>
          </w:p>
        </w:tc>
        <w:tc>
          <w:tcPr>
            <w:tcW w:w="976"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中期</w:t>
            </w:r>
          </w:p>
        </w:tc>
        <w:tc>
          <w:tcPr>
            <w:tcW w:w="894" w:type="pc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远期</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99" w:hRule="atLeast"/>
          <w:jc w:val="center"/>
        </w:trPr>
        <w:tc>
          <w:tcPr>
            <w:tcW w:w="1998" w:type="dxa"/>
            <w:shd w:val="clear" w:color="auto" w:fill="auto"/>
            <w:vAlign w:val="center"/>
          </w:tcPr>
          <w:p>
            <w:pPr>
              <w:pStyle w:val="58"/>
              <w:rPr>
                <w:color w:val="000000" w:themeColor="text1"/>
                <w:sz w:val="21"/>
                <w:szCs w:val="21"/>
                <w14:textFill>
                  <w14:solidFill>
                    <w14:schemeClr w14:val="tx1"/>
                  </w14:solidFill>
                </w14:textFill>
              </w:rPr>
            </w:pPr>
            <w:r>
              <w:rPr>
                <w:rStyle w:val="67"/>
                <w:rFonts w:hint="eastAsia"/>
                <w:b w:val="0"/>
                <w:color w:val="000000" w:themeColor="text1"/>
                <w:sz w:val="21"/>
                <w:szCs w:val="21"/>
                <w:lang w:eastAsia="zh-CN"/>
                <w14:textFill>
                  <w14:solidFill>
                    <w14:schemeClr w14:val="tx1"/>
                  </w14:solidFill>
                </w14:textFill>
              </w:rPr>
              <w:t>渭河</w:t>
            </w:r>
          </w:p>
        </w:tc>
        <w:tc>
          <w:tcPr>
            <w:tcW w:w="1998" w:type="dxa"/>
            <w:shd w:val="clear" w:color="auto" w:fill="auto"/>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0.350</w:t>
            </w:r>
          </w:p>
        </w:tc>
        <w:tc>
          <w:tcPr>
            <w:tcW w:w="1816" w:type="dxa"/>
            <w:shd w:val="clear" w:color="auto" w:fill="auto"/>
            <w:vAlign w:val="center"/>
          </w:tcPr>
          <w:p>
            <w:pPr>
              <w:keepNext w:val="0"/>
              <w:keepLines w:val="0"/>
              <w:widowControl/>
              <w:suppressLineNumbers w:val="0"/>
              <w:ind w:firstLine="420" w:firstLineChars="200"/>
              <w:jc w:val="center"/>
              <w:textAlignment w:val="center"/>
              <w:rPr>
                <w:rFonts w:hint="eastAsia" w:ascii="Times New Roman" w:hAnsi="Times New Roman" w:eastAsia="仿宋" w:cs="Times New Roman"/>
                <w:b w:val="0"/>
                <w:color w:val="000000" w:themeColor="text1"/>
                <w:kern w:val="2"/>
                <w:sz w:val="21"/>
                <w:szCs w:val="21"/>
                <w:lang w:val="en-US" w:eastAsia="zh-CN" w:bidi="ar-SA"/>
                <w14:textFill>
                  <w14:solidFill>
                    <w14:schemeClr w14:val="tx1"/>
                  </w14:solidFill>
                </w14:textFill>
              </w:rPr>
            </w:pPr>
            <w:r>
              <w:rPr>
                <w:rFonts w:hint="eastAsia" w:ascii="Times New Roman" w:hAnsi="Times New Roman" w:eastAsia="仿宋" w:cs="Times New Roman"/>
                <w:b w:val="0"/>
                <w:color w:val="000000" w:themeColor="text1"/>
                <w:kern w:val="2"/>
                <w:sz w:val="21"/>
                <w:szCs w:val="21"/>
                <w:lang w:val="en-US" w:eastAsia="zh-CN" w:bidi="ar-SA"/>
                <w14:textFill>
                  <w14:solidFill>
                    <w14:schemeClr w14:val="tx1"/>
                  </w14:solidFill>
                </w14:textFill>
              </w:rPr>
              <w:t>0.0020</w:t>
            </w:r>
          </w:p>
        </w:tc>
        <w:tc>
          <w:tcPr>
            <w:tcW w:w="1813" w:type="dxa"/>
            <w:shd w:val="clear" w:color="auto" w:fill="auto"/>
            <w:vAlign w:val="center"/>
          </w:tcPr>
          <w:p>
            <w:pPr>
              <w:keepNext w:val="0"/>
              <w:keepLines w:val="0"/>
              <w:widowControl/>
              <w:suppressLineNumbers w:val="0"/>
              <w:ind w:firstLine="420" w:firstLineChars="200"/>
              <w:jc w:val="center"/>
              <w:textAlignment w:val="center"/>
              <w:rPr>
                <w:rFonts w:hint="eastAsia" w:ascii="Times New Roman" w:hAnsi="Times New Roman" w:eastAsia="仿宋" w:cs="Times New Roman"/>
                <w:b w:val="0"/>
                <w:color w:val="000000" w:themeColor="text1"/>
                <w:kern w:val="2"/>
                <w:sz w:val="21"/>
                <w:szCs w:val="21"/>
                <w:lang w:val="en-US" w:eastAsia="zh-CN" w:bidi="ar-SA"/>
                <w14:textFill>
                  <w14:solidFill>
                    <w14:schemeClr w14:val="tx1"/>
                  </w14:solidFill>
                </w14:textFill>
              </w:rPr>
            </w:pPr>
            <w:r>
              <w:rPr>
                <w:rFonts w:hint="eastAsia" w:ascii="Times New Roman" w:hAnsi="Times New Roman" w:eastAsia="仿宋" w:cs="Times New Roman"/>
                <w:b w:val="0"/>
                <w:color w:val="000000" w:themeColor="text1"/>
                <w:kern w:val="2"/>
                <w:sz w:val="21"/>
                <w:szCs w:val="21"/>
                <w:lang w:val="en-US" w:eastAsia="zh-CN" w:bidi="ar-SA"/>
                <w14:textFill>
                  <w14:solidFill>
                    <w14:schemeClr w14:val="tx1"/>
                  </w14:solidFill>
                </w14:textFill>
              </w:rPr>
              <w:t>0.0061</w:t>
            </w:r>
          </w:p>
        </w:tc>
        <w:tc>
          <w:tcPr>
            <w:tcW w:w="1661" w:type="dxa"/>
            <w:shd w:val="clear" w:color="auto" w:fill="auto"/>
            <w:vAlign w:val="center"/>
          </w:tcPr>
          <w:p>
            <w:pPr>
              <w:keepNext w:val="0"/>
              <w:keepLines w:val="0"/>
              <w:widowControl/>
              <w:suppressLineNumbers w:val="0"/>
              <w:ind w:firstLine="420" w:firstLineChars="200"/>
              <w:jc w:val="center"/>
              <w:textAlignment w:val="center"/>
              <w:rPr>
                <w:rFonts w:hint="eastAsia" w:ascii="Times New Roman" w:hAnsi="Times New Roman" w:eastAsia="仿宋" w:cs="Times New Roman"/>
                <w:b w:val="0"/>
                <w:color w:val="000000" w:themeColor="text1"/>
                <w:kern w:val="2"/>
                <w:sz w:val="21"/>
                <w:szCs w:val="21"/>
                <w:lang w:val="en-US" w:eastAsia="zh-CN" w:bidi="ar-SA"/>
                <w14:textFill>
                  <w14:solidFill>
                    <w14:schemeClr w14:val="tx1"/>
                  </w14:solidFill>
                </w14:textFill>
              </w:rPr>
            </w:pPr>
            <w:r>
              <w:rPr>
                <w:rFonts w:hint="eastAsia" w:ascii="Times New Roman" w:hAnsi="Times New Roman" w:eastAsia="仿宋" w:cs="Times New Roman"/>
                <w:b w:val="0"/>
                <w:color w:val="000000" w:themeColor="text1"/>
                <w:kern w:val="2"/>
                <w:sz w:val="21"/>
                <w:szCs w:val="21"/>
                <w:lang w:val="en-US" w:eastAsia="zh-CN" w:bidi="ar-SA"/>
                <w14:textFill>
                  <w14:solidFill>
                    <w14:schemeClr w14:val="tx1"/>
                  </w14:solidFill>
                </w14:textFill>
              </w:rPr>
              <w:t>0.0106</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jc w:val="center"/>
        </w:trPr>
        <w:tc>
          <w:tcPr>
            <w:tcW w:w="1998" w:type="dxa"/>
            <w:shd w:val="clear" w:color="auto" w:fill="auto"/>
            <w:vAlign w:val="center"/>
          </w:tcPr>
          <w:p>
            <w:pPr>
              <w:pStyle w:val="58"/>
              <w:rPr>
                <w:color w:val="000000" w:themeColor="text1"/>
                <w:sz w:val="21"/>
                <w:szCs w:val="21"/>
                <w14:textFill>
                  <w14:solidFill>
                    <w14:schemeClr w14:val="tx1"/>
                  </w14:solidFill>
                </w14:textFill>
              </w:rPr>
            </w:pPr>
            <w:r>
              <w:rPr>
                <w:rStyle w:val="67"/>
                <w:rFonts w:hint="eastAsia"/>
                <w:b w:val="0"/>
                <w:color w:val="000000" w:themeColor="text1"/>
                <w:sz w:val="21"/>
                <w:szCs w:val="21"/>
                <w:lang w:eastAsia="zh-CN"/>
                <w14:textFill>
                  <w14:solidFill>
                    <w14:schemeClr w14:val="tx1"/>
                  </w14:solidFill>
                </w14:textFill>
              </w:rPr>
              <w:t>灞河</w:t>
            </w:r>
          </w:p>
        </w:tc>
        <w:tc>
          <w:tcPr>
            <w:tcW w:w="1998" w:type="dxa"/>
            <w:shd w:val="clear" w:color="auto" w:fill="auto"/>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1.415</w:t>
            </w:r>
          </w:p>
        </w:tc>
        <w:tc>
          <w:tcPr>
            <w:tcW w:w="1816" w:type="dxa"/>
            <w:shd w:val="clear" w:color="auto" w:fill="auto"/>
            <w:vAlign w:val="center"/>
          </w:tcPr>
          <w:p>
            <w:pPr>
              <w:keepNext w:val="0"/>
              <w:keepLines w:val="0"/>
              <w:widowControl/>
              <w:suppressLineNumbers w:val="0"/>
              <w:ind w:firstLine="420" w:firstLineChars="200"/>
              <w:jc w:val="center"/>
              <w:textAlignment w:val="center"/>
              <w:rPr>
                <w:rFonts w:hint="eastAsia" w:ascii="Times New Roman" w:hAnsi="Times New Roman" w:eastAsia="仿宋" w:cs="Times New Roman"/>
                <w:b w:val="0"/>
                <w:color w:val="000000" w:themeColor="text1"/>
                <w:kern w:val="2"/>
                <w:sz w:val="21"/>
                <w:szCs w:val="21"/>
                <w:lang w:val="en-US" w:eastAsia="zh-CN" w:bidi="ar-SA"/>
                <w14:textFill>
                  <w14:solidFill>
                    <w14:schemeClr w14:val="tx1"/>
                  </w14:solidFill>
                </w14:textFill>
              </w:rPr>
            </w:pPr>
            <w:r>
              <w:rPr>
                <w:rFonts w:hint="eastAsia" w:ascii="Times New Roman" w:hAnsi="Times New Roman" w:eastAsia="仿宋" w:cs="Times New Roman"/>
                <w:b w:val="0"/>
                <w:color w:val="000000" w:themeColor="text1"/>
                <w:kern w:val="2"/>
                <w:sz w:val="21"/>
                <w:szCs w:val="21"/>
                <w:lang w:val="en-US" w:eastAsia="zh-CN" w:bidi="ar-SA"/>
                <w14:textFill>
                  <w14:solidFill>
                    <w14:schemeClr w14:val="tx1"/>
                  </w14:solidFill>
                </w14:textFill>
              </w:rPr>
              <w:t>0.0362</w:t>
            </w:r>
          </w:p>
        </w:tc>
        <w:tc>
          <w:tcPr>
            <w:tcW w:w="1813" w:type="dxa"/>
            <w:shd w:val="clear" w:color="auto" w:fill="auto"/>
            <w:vAlign w:val="center"/>
          </w:tcPr>
          <w:p>
            <w:pPr>
              <w:keepNext w:val="0"/>
              <w:keepLines w:val="0"/>
              <w:widowControl/>
              <w:suppressLineNumbers w:val="0"/>
              <w:ind w:firstLine="420" w:firstLineChars="200"/>
              <w:jc w:val="center"/>
              <w:textAlignment w:val="center"/>
              <w:rPr>
                <w:rFonts w:hint="eastAsia" w:ascii="Times New Roman" w:hAnsi="Times New Roman" w:eastAsia="仿宋" w:cs="Times New Roman"/>
                <w:b w:val="0"/>
                <w:color w:val="000000" w:themeColor="text1"/>
                <w:kern w:val="2"/>
                <w:sz w:val="21"/>
                <w:szCs w:val="21"/>
                <w:lang w:val="en-US" w:eastAsia="zh-CN" w:bidi="ar-SA"/>
                <w14:textFill>
                  <w14:solidFill>
                    <w14:schemeClr w14:val="tx1"/>
                  </w14:solidFill>
                </w14:textFill>
              </w:rPr>
            </w:pPr>
            <w:r>
              <w:rPr>
                <w:rFonts w:hint="eastAsia" w:ascii="Times New Roman" w:hAnsi="Times New Roman" w:eastAsia="仿宋" w:cs="Times New Roman"/>
                <w:b w:val="0"/>
                <w:color w:val="000000" w:themeColor="text1"/>
                <w:kern w:val="2"/>
                <w:sz w:val="21"/>
                <w:szCs w:val="21"/>
                <w:lang w:val="en-US" w:eastAsia="zh-CN" w:bidi="ar-SA"/>
                <w14:textFill>
                  <w14:solidFill>
                    <w14:schemeClr w14:val="tx1"/>
                  </w14:solidFill>
                </w14:textFill>
              </w:rPr>
              <w:t>0.0467</w:t>
            </w:r>
          </w:p>
        </w:tc>
        <w:tc>
          <w:tcPr>
            <w:tcW w:w="1661" w:type="dxa"/>
            <w:shd w:val="clear" w:color="auto" w:fill="auto"/>
            <w:vAlign w:val="center"/>
          </w:tcPr>
          <w:p>
            <w:pPr>
              <w:keepNext w:val="0"/>
              <w:keepLines w:val="0"/>
              <w:widowControl/>
              <w:suppressLineNumbers w:val="0"/>
              <w:ind w:firstLine="420" w:firstLineChars="200"/>
              <w:jc w:val="center"/>
              <w:textAlignment w:val="center"/>
              <w:rPr>
                <w:rFonts w:hint="eastAsia" w:ascii="Times New Roman" w:hAnsi="Times New Roman" w:eastAsia="仿宋" w:cs="Times New Roman"/>
                <w:b w:val="0"/>
                <w:color w:val="000000" w:themeColor="text1"/>
                <w:kern w:val="2"/>
                <w:sz w:val="21"/>
                <w:szCs w:val="21"/>
                <w:lang w:val="en-US" w:eastAsia="zh-CN" w:bidi="ar-SA"/>
                <w14:textFill>
                  <w14:solidFill>
                    <w14:schemeClr w14:val="tx1"/>
                  </w14:solidFill>
                </w14:textFill>
              </w:rPr>
            </w:pPr>
            <w:r>
              <w:rPr>
                <w:rFonts w:hint="eastAsia" w:ascii="Times New Roman" w:hAnsi="Times New Roman" w:eastAsia="仿宋" w:cs="Times New Roman"/>
                <w:b w:val="0"/>
                <w:color w:val="000000" w:themeColor="text1"/>
                <w:kern w:val="2"/>
                <w:sz w:val="21"/>
                <w:szCs w:val="21"/>
                <w:lang w:val="en-US" w:eastAsia="zh-CN" w:bidi="ar-SA"/>
                <w14:textFill>
                  <w14:solidFill>
                    <w14:schemeClr w14:val="tx1"/>
                  </w14:solidFill>
                </w14:textFill>
              </w:rPr>
              <w:t>0.0602</w:t>
            </w:r>
          </w:p>
        </w:tc>
      </w:tr>
    </w:tbl>
    <w:p>
      <w:pPr>
        <w:ind w:firstLine="560"/>
        <w:rPr>
          <w:color w:val="auto"/>
        </w:rPr>
      </w:pPr>
      <w:bookmarkStart w:id="140" w:name="_Toc69739746"/>
      <w:r>
        <w:rPr>
          <w:color w:val="auto"/>
        </w:rPr>
        <w:t>根据预测，项目营运远期，可能引起</w:t>
      </w:r>
      <w:r>
        <w:rPr>
          <w:rFonts w:hint="eastAsia"/>
          <w:color w:val="auto"/>
          <w:lang w:eastAsia="zh-CN"/>
        </w:rPr>
        <w:t>河流</w:t>
      </w:r>
      <w:r>
        <w:rPr>
          <w:color w:val="auto"/>
        </w:rPr>
        <w:t>污染的重大交通事故概率最大为</w:t>
      </w:r>
      <w:r>
        <w:rPr>
          <w:rFonts w:hint="eastAsia"/>
          <w:color w:val="auto"/>
          <w:lang w:val="en-US" w:eastAsia="zh-CN"/>
        </w:rPr>
        <w:t>0.0602</w:t>
      </w:r>
      <w:r>
        <w:rPr>
          <w:color w:val="auto"/>
        </w:rPr>
        <w:t>次/年，发生概率较小。考虑最近几年高速公路发生危险品事故的概率有所增加，项目在营运期对沿线水体的风险事故影响是客观存在的，且一旦发生对地表水环境将造成严重的影响。因此，在运营期应严格执行危险品、油品运输、装卸、贮存等有关规定，减小风险泄露和其它事故的发生。</w:t>
      </w:r>
    </w:p>
    <w:p>
      <w:pPr>
        <w:pStyle w:val="11"/>
        <w:ind w:firstLine="562"/>
        <w:rPr>
          <w:rFonts w:eastAsia="仿宋"/>
          <w:color w:val="000000" w:themeColor="text1"/>
          <w14:textFill>
            <w14:solidFill>
              <w14:schemeClr w14:val="tx1"/>
            </w14:solidFill>
          </w14:textFill>
        </w:rPr>
      </w:pPr>
      <w:r>
        <w:rPr>
          <w:rFonts w:eastAsia="仿宋"/>
          <w:color w:val="000000" w:themeColor="text1"/>
          <w14:textFill>
            <w14:solidFill>
              <w14:schemeClr w14:val="tx1"/>
            </w14:solidFill>
          </w14:textFill>
        </w:rPr>
        <w:t>4.2.2 油类物质交通运输环境风险事故影响分析</w:t>
      </w:r>
      <w:bookmarkEnd w:id="140"/>
    </w:p>
    <w:p>
      <w:pPr>
        <w:ind w:firstLine="562"/>
        <w:rPr>
          <w:b/>
          <w:bCs/>
          <w:color w:val="000000" w:themeColor="text1"/>
          <w14:textFill>
            <w14:solidFill>
              <w14:schemeClr w14:val="tx1"/>
            </w14:solidFill>
          </w14:textFill>
        </w:rPr>
      </w:pPr>
      <w:bookmarkStart w:id="141" w:name="_Hlk7052767"/>
      <w:bookmarkEnd w:id="141"/>
      <w:r>
        <w:rPr>
          <w:b/>
          <w:bCs/>
          <w:color w:val="000000" w:themeColor="text1"/>
          <w14:textFill>
            <w14:solidFill>
              <w14:schemeClr w14:val="tx1"/>
            </w14:solidFill>
          </w14:textFill>
        </w:rPr>
        <w:t>（1）油罐车泄漏进入水体环境影响分析</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油罐车事故（包括翻车、交通事故油罐破损）往往会伴随着罐体损坏导致油品泄露。由于油罐车事故地点具有不确定性，假定一辆载有30t汽油（柴油）的油罐车在工程沿线水体附近发生交通事故，造成油类泄漏至水体中的危险事故，泄入地表水体风险物质量为全部运输量30t。</w:t>
      </w:r>
    </w:p>
    <w:p>
      <w:pPr>
        <w:ind w:firstLine="560"/>
        <w:rPr>
          <w:color w:val="000000" w:themeColor="text1"/>
          <w14:textFill>
            <w14:solidFill>
              <w14:schemeClr w14:val="tx1"/>
            </w14:solidFill>
          </w14:textFill>
        </w:rPr>
      </w:pPr>
      <w:bookmarkStart w:id="142" w:name="_Hlk81558578"/>
      <w:r>
        <w:rPr>
          <w:color w:val="000000" w:themeColor="text1"/>
          <w14:textFill>
            <w14:solidFill>
              <w14:schemeClr w14:val="tx1"/>
            </w14:solidFill>
          </w14:textFill>
        </w:rPr>
        <w:t>油品进入水体后，由于比重比水轻，成品油会迅速浮于水面上，在重力和表面张力的作用下，会在水面上形成油膜向四周散开，根据水体的流态不同，存在着大小和尺度不同的涡旋和湍流，使得油膜在扩展的基础上进一步扩大范围，油膜还会随水流流动而发生的纵向位移。成品油溢于水面后，其中的轻质烃类组分会不断地挥发至大气中，减少水中成品油量；成品油中的可溶组分会溶于水中。可溶性组分主要是低碳的直链烷烃和一些芳香烃。溶入水中的成品油组分对水生生物有直接的危害；由于涡旋和湍流的存在，水中一定量的油以乳化形式存在。水体底部泥沙和底泥会吸附水中的成品油物质，并通过泥沙的悬浮、沉积等过程使成品油在水中产生新的分布。因此，油品一旦进入水体中，如未及时处理，</w:t>
      </w:r>
      <w:r>
        <w:rPr>
          <w:rFonts w:hint="eastAsia"/>
          <w:color w:val="000000" w:themeColor="text1"/>
          <w14:textFill>
            <w14:solidFill>
              <w14:schemeClr w14:val="tx1"/>
            </w14:solidFill>
          </w14:textFill>
        </w:rPr>
        <w:t>项目沿线有</w:t>
      </w:r>
      <w:r>
        <w:rPr>
          <w:rFonts w:hint="eastAsia"/>
          <w:color w:val="000000" w:themeColor="text1"/>
          <w:lang w:eastAsia="zh-CN"/>
          <w14:textFill>
            <w14:solidFill>
              <w14:schemeClr w14:val="tx1"/>
            </w14:solidFill>
          </w14:textFill>
        </w:rPr>
        <w:t>灞河地下水源保护区</w:t>
      </w:r>
      <w:r>
        <w:rPr>
          <w:rFonts w:hint="eastAsia"/>
          <w:color w:val="000000" w:themeColor="text1"/>
          <w14:textFill>
            <w14:solidFill>
              <w14:schemeClr w14:val="tx1"/>
            </w14:solidFill>
          </w14:textFill>
        </w:rPr>
        <w:t>，极为敏感，油品泄漏会对保护区水质</w:t>
      </w:r>
      <w:r>
        <w:rPr>
          <w:rFonts w:hint="eastAsia"/>
          <w:color w:val="000000" w:themeColor="text1"/>
          <w:lang w:eastAsia="zh-CN"/>
          <w14:textFill>
            <w14:solidFill>
              <w14:schemeClr w14:val="tx1"/>
            </w14:solidFill>
          </w14:textFill>
        </w:rPr>
        <w:t>造成影响</w:t>
      </w:r>
      <w:bookmarkEnd w:id="142"/>
      <w:r>
        <w:rPr>
          <w:color w:val="000000" w:themeColor="text1"/>
          <w14:textFill>
            <w14:solidFill>
              <w14:schemeClr w14:val="tx1"/>
            </w14:solidFill>
          </w14:textFill>
        </w:rPr>
        <w:t>。</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若油罐车事故发生在高速公路两侧均为陆地环境段，陆地溢油较难清理，可能对区域土壤环境和地下水环境造成危害。</w:t>
      </w:r>
    </w:p>
    <w:p>
      <w:pPr>
        <w:ind w:firstLine="562"/>
        <w:rPr>
          <w:b/>
          <w:bCs/>
          <w:color w:val="000000" w:themeColor="text1"/>
          <w14:textFill>
            <w14:solidFill>
              <w14:schemeClr w14:val="tx1"/>
            </w14:solidFill>
          </w14:textFill>
        </w:rPr>
      </w:pPr>
      <w:r>
        <w:rPr>
          <w:b/>
          <w:bCs/>
          <w:color w:val="000000" w:themeColor="text1"/>
          <w14:textFill>
            <w14:solidFill>
              <w14:schemeClr w14:val="tx1"/>
            </w14:solidFill>
          </w14:textFill>
        </w:rPr>
        <w:t>（2）油罐车火灾爆炸事故对环境影响预测</w:t>
      </w:r>
    </w:p>
    <w:p>
      <w:pPr>
        <w:ind w:firstLine="560"/>
        <w:rPr>
          <w:color w:val="000000" w:themeColor="text1"/>
          <w14:textFill>
            <w14:solidFill>
              <w14:schemeClr w14:val="tx1"/>
            </w14:solidFill>
          </w14:textFill>
        </w:rPr>
      </w:pPr>
      <w:bookmarkStart w:id="143" w:name="_Hlk81558883"/>
      <w:r>
        <w:rPr>
          <w:color w:val="000000" w:themeColor="text1"/>
          <w14:textFill>
            <w14:solidFill>
              <w14:schemeClr w14:val="tx1"/>
            </w14:solidFill>
          </w14:textFill>
        </w:rPr>
        <w:t>油罐车运输由于装载的成品油是易燃、易爆、毒害性的商品，发生起火、泄露、爆炸等事故的可能性很高，属于</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移动的危险源</w:t>
      </w:r>
      <w:r>
        <w:rPr>
          <w:rFonts w:hint="eastAsia"/>
          <w:color w:val="000000" w:themeColor="text1"/>
          <w14:textFill>
            <w14:solidFill>
              <w14:schemeClr w14:val="tx1"/>
            </w14:solidFill>
          </w14:textFill>
        </w:rPr>
        <w:t>”</w:t>
      </w:r>
      <w:r>
        <w:rPr>
          <w:color w:val="000000" w:themeColor="text1"/>
          <w14:textFill>
            <w14:solidFill>
              <w14:schemeClr w14:val="tx1"/>
            </w14:solidFill>
          </w14:textFill>
        </w:rPr>
        <w:t>，并且由于油罐车运输所属的危险品运输交通事故具有突发和频发的特点，事故的后果往往较为严重。油罐泄露后在油罐上方形成大规模可燃性混合气团，如果遇到明火，极易引起火灾爆炸事故。</w:t>
      </w:r>
      <w:bookmarkEnd w:id="143"/>
    </w:p>
    <w:p>
      <w:pPr>
        <w:ind w:firstLine="560"/>
        <w:rPr>
          <w:color w:val="000000" w:themeColor="text1"/>
          <w14:textFill>
            <w14:solidFill>
              <w14:schemeClr w14:val="tx1"/>
            </w14:solidFill>
          </w14:textFill>
        </w:rPr>
      </w:pPr>
      <w:r>
        <w:rPr>
          <w:color w:val="000000" w:themeColor="text1"/>
          <w14:textFill>
            <w14:solidFill>
              <w14:schemeClr w14:val="tx1"/>
            </w14:solidFill>
          </w14:textFill>
        </w:rPr>
        <w:t>以最不利情况交通事故造成一辆油罐车全部油泄露引起的火灾爆炸进行预测，泄漏量30t。以池火事故模型预测结果见表4-5和图4-1。</w:t>
      </w:r>
    </w:p>
    <w:p>
      <w:pPr>
        <w:rPr>
          <w:color w:val="000000" w:themeColor="text1"/>
          <w14:textFill>
            <w14:solidFill>
              <w14:schemeClr w14:val="tx1"/>
            </w14:solidFill>
          </w14:textFill>
        </w:rPr>
      </w:pPr>
      <w:r>
        <w:rPr>
          <w:color w:val="000000" w:themeColor="text1"/>
          <w14:textFill>
            <w14:solidFill>
              <w14:schemeClr w14:val="tx1"/>
            </w14:solidFill>
          </w14:textFill>
        </w:rPr>
        <w:br w:type="page"/>
      </w:r>
    </w:p>
    <w:p>
      <w:pPr>
        <w:pStyle w:val="55"/>
        <w:rPr>
          <w:color w:val="000000" w:themeColor="text1"/>
          <w14:textFill>
            <w14:solidFill>
              <w14:schemeClr w14:val="tx1"/>
            </w14:solidFill>
          </w14:textFill>
        </w:rPr>
      </w:pPr>
      <w:r>
        <w:rPr>
          <w:color w:val="000000" w:themeColor="text1"/>
          <w14:textFill>
            <w14:solidFill>
              <w14:schemeClr w14:val="tx1"/>
            </w14:solidFill>
          </w14:textFill>
        </w:rPr>
        <w:t>表4-5  油罐车火灾预测结果</w:t>
      </w:r>
    </w:p>
    <w:tbl>
      <w:tblPr>
        <w:tblStyle w:val="2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2821"/>
        <w:gridCol w:w="2376"/>
        <w:gridCol w:w="1943"/>
        <w:gridCol w:w="138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89" w:hRule="atLeast"/>
          <w:jc w:val="center"/>
        </w:trPr>
        <w:tc>
          <w:tcPr>
            <w:tcW w:w="1654" w:type="pct"/>
            <w:vAlign w:val="center"/>
          </w:tcPr>
          <w:p>
            <w:pPr>
              <w:pStyle w:val="58"/>
              <w:rPr>
                <w:b/>
                <w:bCs/>
                <w:color w:val="000000" w:themeColor="text1"/>
                <w14:textFill>
                  <w14:solidFill>
                    <w14:schemeClr w14:val="tx1"/>
                  </w14:solidFill>
                </w14:textFill>
              </w:rPr>
            </w:pPr>
            <w:r>
              <w:rPr>
                <w:b/>
                <w:bCs/>
                <w:color w:val="000000" w:themeColor="text1"/>
                <w14:textFill>
                  <w14:solidFill>
                    <w14:schemeClr w14:val="tx1"/>
                  </w14:solidFill>
                </w14:textFill>
              </w:rPr>
              <w:t>预测项目</w:t>
            </w:r>
          </w:p>
        </w:tc>
        <w:tc>
          <w:tcPr>
            <w:tcW w:w="1393" w:type="pct"/>
            <w:vAlign w:val="center"/>
          </w:tcPr>
          <w:p>
            <w:pPr>
              <w:pStyle w:val="58"/>
              <w:rPr>
                <w:b/>
                <w:bCs/>
                <w:color w:val="000000" w:themeColor="text1"/>
                <w14:textFill>
                  <w14:solidFill>
                    <w14:schemeClr w14:val="tx1"/>
                  </w14:solidFill>
                </w14:textFill>
              </w:rPr>
            </w:pPr>
            <w:r>
              <w:rPr>
                <w:b/>
                <w:bCs/>
                <w:color w:val="000000" w:themeColor="text1"/>
                <w14:textFill>
                  <w14:solidFill>
                    <w14:schemeClr w14:val="tx1"/>
                  </w14:solidFill>
                </w14:textFill>
              </w:rPr>
              <w:t>预测结果</w:t>
            </w:r>
          </w:p>
        </w:tc>
        <w:tc>
          <w:tcPr>
            <w:tcW w:w="1139" w:type="pct"/>
            <w:vAlign w:val="center"/>
          </w:tcPr>
          <w:p>
            <w:pPr>
              <w:pStyle w:val="58"/>
              <w:rPr>
                <w:b/>
                <w:bCs/>
                <w:color w:val="000000" w:themeColor="text1"/>
                <w14:textFill>
                  <w14:solidFill>
                    <w14:schemeClr w14:val="tx1"/>
                  </w14:solidFill>
                </w14:textFill>
              </w:rPr>
            </w:pPr>
            <w:r>
              <w:rPr>
                <w:b/>
                <w:bCs/>
                <w:color w:val="000000" w:themeColor="text1"/>
                <w14:textFill>
                  <w14:solidFill>
                    <w14:schemeClr w14:val="tx1"/>
                  </w14:solidFill>
                </w14:textFill>
              </w:rPr>
              <w:t>预测项目</w:t>
            </w:r>
          </w:p>
        </w:tc>
        <w:tc>
          <w:tcPr>
            <w:tcW w:w="814" w:type="pct"/>
            <w:vAlign w:val="center"/>
          </w:tcPr>
          <w:p>
            <w:pPr>
              <w:pStyle w:val="58"/>
              <w:rPr>
                <w:b/>
                <w:bCs/>
                <w:color w:val="000000" w:themeColor="text1"/>
                <w14:textFill>
                  <w14:solidFill>
                    <w14:schemeClr w14:val="tx1"/>
                  </w14:solidFill>
                </w14:textFill>
              </w:rPr>
            </w:pPr>
            <w:r>
              <w:rPr>
                <w:b/>
                <w:bCs/>
                <w:color w:val="000000" w:themeColor="text1"/>
                <w14:textFill>
                  <w14:solidFill>
                    <w14:schemeClr w14:val="tx1"/>
                  </w14:solidFill>
                </w14:textFill>
              </w:rPr>
              <w:t>预测结果</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654"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池火单位面积燃烧速率</w:t>
            </w:r>
          </w:p>
        </w:tc>
        <w:tc>
          <w:tcPr>
            <w:tcW w:w="1393"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0.08483kg/(m</w:t>
            </w:r>
            <w:r>
              <w:rPr>
                <w:color w:val="000000" w:themeColor="text1"/>
                <w:vertAlign w:val="superscript"/>
                <w14:textFill>
                  <w14:solidFill>
                    <w14:schemeClr w14:val="tx1"/>
                  </w14:solidFill>
                </w14:textFill>
              </w:rPr>
              <w:t>2</w:t>
            </w:r>
            <w:r>
              <w:rPr>
                <w:color w:val="000000" w:themeColor="text1"/>
                <w14:textFill>
                  <w14:solidFill>
                    <w14:schemeClr w14:val="tx1"/>
                  </w14:solidFill>
                </w14:textFill>
              </w:rPr>
              <w:t>·s)</w:t>
            </w:r>
          </w:p>
        </w:tc>
        <w:tc>
          <w:tcPr>
            <w:tcW w:w="1139" w:type="pct"/>
            <w:vAlign w:val="center"/>
          </w:tcPr>
          <w:p>
            <w:pPr>
              <w:pStyle w:val="58"/>
              <w:rPr>
                <w:color w:val="000000" w:themeColor="text1"/>
                <w14:textFill>
                  <w14:solidFill>
                    <w14:schemeClr w14:val="tx1"/>
                  </w14:solidFill>
                </w14:textFill>
              </w:rPr>
            </w:pPr>
          </w:p>
        </w:tc>
        <w:tc>
          <w:tcPr>
            <w:tcW w:w="814" w:type="pct"/>
            <w:vAlign w:val="center"/>
          </w:tcPr>
          <w:p>
            <w:pPr>
              <w:pStyle w:val="58"/>
              <w:rPr>
                <w:color w:val="000000" w:themeColor="text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654"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池火的火焰高度</w:t>
            </w:r>
          </w:p>
        </w:tc>
        <w:tc>
          <w:tcPr>
            <w:tcW w:w="1393"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0.8m</w:t>
            </w:r>
          </w:p>
        </w:tc>
        <w:tc>
          <w:tcPr>
            <w:tcW w:w="1139" w:type="pct"/>
            <w:vAlign w:val="center"/>
          </w:tcPr>
          <w:p>
            <w:pPr>
              <w:pStyle w:val="58"/>
              <w:rPr>
                <w:color w:val="000000" w:themeColor="text1"/>
                <w14:textFill>
                  <w14:solidFill>
                    <w14:schemeClr w14:val="tx1"/>
                  </w14:solidFill>
                </w14:textFill>
              </w:rPr>
            </w:pPr>
          </w:p>
        </w:tc>
        <w:tc>
          <w:tcPr>
            <w:tcW w:w="814" w:type="pct"/>
            <w:vAlign w:val="center"/>
          </w:tcPr>
          <w:p>
            <w:pPr>
              <w:pStyle w:val="58"/>
              <w:rPr>
                <w:color w:val="000000" w:themeColor="text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654"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池火焰表面热辐射通量</w:t>
            </w:r>
          </w:p>
        </w:tc>
        <w:tc>
          <w:tcPr>
            <w:tcW w:w="1393"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39186.6W/m</w:t>
            </w:r>
            <w:r>
              <w:rPr>
                <w:color w:val="000000" w:themeColor="text1"/>
                <w:vertAlign w:val="superscript"/>
                <w14:textFill>
                  <w14:solidFill>
                    <w14:schemeClr w14:val="tx1"/>
                  </w14:solidFill>
                </w14:textFill>
              </w:rPr>
              <w:t>2</w:t>
            </w:r>
          </w:p>
        </w:tc>
        <w:tc>
          <w:tcPr>
            <w:tcW w:w="1139" w:type="pct"/>
            <w:vAlign w:val="center"/>
          </w:tcPr>
          <w:p>
            <w:pPr>
              <w:pStyle w:val="58"/>
              <w:rPr>
                <w:color w:val="000000" w:themeColor="text1"/>
                <w14:textFill>
                  <w14:solidFill>
                    <w14:schemeClr w14:val="tx1"/>
                  </w14:solidFill>
                </w14:textFill>
              </w:rPr>
            </w:pPr>
          </w:p>
        </w:tc>
        <w:tc>
          <w:tcPr>
            <w:tcW w:w="814" w:type="pct"/>
            <w:vAlign w:val="center"/>
          </w:tcPr>
          <w:p>
            <w:pPr>
              <w:pStyle w:val="58"/>
              <w:rPr>
                <w:color w:val="000000" w:themeColor="text1"/>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654"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死亡的热辐射通量</w:t>
            </w:r>
          </w:p>
        </w:tc>
        <w:tc>
          <w:tcPr>
            <w:tcW w:w="1393"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854.4W/m</w:t>
            </w:r>
            <w:r>
              <w:rPr>
                <w:color w:val="000000" w:themeColor="text1"/>
                <w:vertAlign w:val="superscript"/>
                <w14:textFill>
                  <w14:solidFill>
                    <w14:schemeClr w14:val="tx1"/>
                  </w14:solidFill>
                </w14:textFill>
              </w:rPr>
              <w:t>2</w:t>
            </w:r>
          </w:p>
        </w:tc>
        <w:tc>
          <w:tcPr>
            <w:tcW w:w="1139"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死亡半径</w:t>
            </w:r>
          </w:p>
        </w:tc>
        <w:tc>
          <w:tcPr>
            <w:tcW w:w="814"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0.7m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654"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二度烧伤的热辐射通量</w:t>
            </w:r>
          </w:p>
        </w:tc>
        <w:tc>
          <w:tcPr>
            <w:tcW w:w="1393"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565.9W/m</w:t>
            </w:r>
            <w:r>
              <w:rPr>
                <w:color w:val="000000" w:themeColor="text1"/>
                <w:vertAlign w:val="superscript"/>
                <w14:textFill>
                  <w14:solidFill>
                    <w14:schemeClr w14:val="tx1"/>
                  </w14:solidFill>
                </w14:textFill>
              </w:rPr>
              <w:t>2</w:t>
            </w:r>
          </w:p>
        </w:tc>
        <w:tc>
          <w:tcPr>
            <w:tcW w:w="1139"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二度烧伤半径</w:t>
            </w:r>
          </w:p>
        </w:tc>
        <w:tc>
          <w:tcPr>
            <w:tcW w:w="814"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0.9m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654"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一度烧伤的热辐射通量</w:t>
            </w:r>
          </w:p>
        </w:tc>
        <w:tc>
          <w:tcPr>
            <w:tcW w:w="1393"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248.7W/m</w:t>
            </w:r>
            <w:r>
              <w:rPr>
                <w:color w:val="000000" w:themeColor="text1"/>
                <w:vertAlign w:val="superscript"/>
                <w14:textFill>
                  <w14:solidFill>
                    <w14:schemeClr w14:val="tx1"/>
                  </w14:solidFill>
                </w14:textFill>
              </w:rPr>
              <w:t>2</w:t>
            </w:r>
          </w:p>
        </w:tc>
        <w:tc>
          <w:tcPr>
            <w:tcW w:w="1139"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一度烧伤半径</w:t>
            </w:r>
          </w:p>
        </w:tc>
        <w:tc>
          <w:tcPr>
            <w:tcW w:w="814"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1.4m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1654"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财产损失的热辐射通量</w:t>
            </w:r>
          </w:p>
        </w:tc>
        <w:tc>
          <w:tcPr>
            <w:tcW w:w="1393" w:type="pct"/>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25416.7W/m</w:t>
            </w:r>
            <w:r>
              <w:rPr>
                <w:color w:val="000000" w:themeColor="text1"/>
                <w:vertAlign w:val="superscript"/>
                <w14:textFill>
                  <w14:solidFill>
                    <w14:schemeClr w14:val="tx1"/>
                  </w14:solidFill>
                </w14:textFill>
              </w:rPr>
              <w:t>2</w:t>
            </w:r>
          </w:p>
        </w:tc>
        <w:tc>
          <w:tcPr>
            <w:tcW w:w="1953" w:type="pct"/>
            <w:gridSpan w:val="2"/>
            <w:vAlign w:val="center"/>
          </w:tcPr>
          <w:p>
            <w:pPr>
              <w:pStyle w:val="58"/>
              <w:rPr>
                <w:color w:val="000000" w:themeColor="text1"/>
                <w14:textFill>
                  <w14:solidFill>
                    <w14:schemeClr w14:val="tx1"/>
                  </w14:solidFill>
                </w14:textFill>
              </w:rPr>
            </w:pPr>
            <w:r>
              <w:rPr>
                <w:color w:val="000000" w:themeColor="text1"/>
                <w14:textFill>
                  <w14:solidFill>
                    <w14:schemeClr w14:val="tx1"/>
                  </w14:solidFill>
                </w14:textFill>
              </w:rPr>
              <w:t>不存在热辐射财产损失半径</w:t>
            </w:r>
          </w:p>
        </w:tc>
      </w:tr>
    </w:tbl>
    <w:p>
      <w:pPr>
        <w:widowControl/>
        <w:ind w:firstLine="560"/>
        <w:jc w:val="center"/>
        <w:rPr>
          <w:color w:val="000000" w:themeColor="text1"/>
          <w:kern w:val="0"/>
          <w:szCs w:val="28"/>
          <w14:textFill>
            <w14:solidFill>
              <w14:schemeClr w14:val="tx1"/>
            </w14:solidFill>
          </w14:textFill>
        </w:rPr>
      </w:pPr>
      <w:r>
        <w:rPr>
          <w:color w:val="000000" w:themeColor="text1"/>
          <w14:textFill>
            <w14:solidFill>
              <w14:schemeClr w14:val="tx1"/>
            </w14:solidFill>
          </w14:textFill>
        </w:rPr>
        <w:drawing>
          <wp:inline distT="0" distB="0" distL="0" distR="0">
            <wp:extent cx="3886200" cy="2800350"/>
            <wp:effectExtent l="0" t="0" r="0" b="0"/>
            <wp:docPr id="1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8"/>
                    <pic:cNvPicPr>
                      <a:picLocks noChangeAspect="1" noChangeArrowheads="1"/>
                    </pic:cNvPicPr>
                  </pic:nvPicPr>
                  <pic:blipFill>
                    <a:blip r:embed="rId30">
                      <a:extLst>
                        <a:ext uri="{28A0092B-C50C-407E-A947-70E740481C1C}">
                          <a14:useLocalDpi xmlns:a14="http://schemas.microsoft.com/office/drawing/2010/main" val="0"/>
                        </a:ext>
                      </a:extLst>
                    </a:blip>
                    <a:srcRect t="7143" b="5357"/>
                    <a:stretch>
                      <a:fillRect/>
                    </a:stretch>
                  </pic:blipFill>
                  <pic:spPr>
                    <a:xfrm>
                      <a:off x="0" y="0"/>
                      <a:ext cx="3886200" cy="2800350"/>
                    </a:xfrm>
                    <a:prstGeom prst="rect">
                      <a:avLst/>
                    </a:prstGeom>
                    <a:noFill/>
                    <a:ln>
                      <a:noFill/>
                    </a:ln>
                  </pic:spPr>
                </pic:pic>
              </a:graphicData>
            </a:graphic>
          </wp:inline>
        </w:drawing>
      </w:r>
    </w:p>
    <w:p>
      <w:pPr>
        <w:pStyle w:val="55"/>
        <w:rPr>
          <w:color w:val="000000" w:themeColor="text1"/>
          <w14:textFill>
            <w14:solidFill>
              <w14:schemeClr w14:val="tx1"/>
            </w14:solidFill>
          </w14:textFill>
        </w:rPr>
      </w:pPr>
      <w:r>
        <w:rPr>
          <w:color w:val="000000" w:themeColor="text1"/>
          <w14:textFill>
            <w14:solidFill>
              <w14:schemeClr w14:val="tx1"/>
            </w14:solidFill>
          </w14:textFill>
        </w:rPr>
        <w:t>图4-1  油罐车火灾预测半径</w:t>
      </w:r>
    </w:p>
    <w:p>
      <w:pPr>
        <w:pStyle w:val="10"/>
        <w:ind w:firstLine="321"/>
        <w:rPr>
          <w:color w:val="000000" w:themeColor="text1"/>
          <w14:textFill>
            <w14:solidFill>
              <w14:schemeClr w14:val="tx1"/>
            </w14:solidFill>
          </w14:textFill>
        </w:rPr>
      </w:pPr>
      <w:bookmarkStart w:id="144" w:name="_Hlk7052779"/>
      <w:bookmarkEnd w:id="144"/>
      <w:bookmarkStart w:id="145" w:name="_Hlk7052859"/>
      <w:bookmarkEnd w:id="145"/>
      <w:bookmarkStart w:id="146" w:name="_Toc47541606"/>
      <w:bookmarkEnd w:id="146"/>
      <w:bookmarkStart w:id="147" w:name="_Toc80973314"/>
      <w:bookmarkStart w:id="148" w:name="_Toc69739748"/>
      <w:r>
        <w:rPr>
          <w:color w:val="000000" w:themeColor="text1"/>
          <w14:textFill>
            <w14:solidFill>
              <w14:schemeClr w14:val="tx1"/>
            </w14:solidFill>
          </w14:textFill>
        </w:rPr>
        <w:t>4.3 涉及环境风险防控与应急措施、应急资源情况分析</w:t>
      </w:r>
      <w:bookmarkEnd w:id="147"/>
      <w:bookmarkEnd w:id="148"/>
    </w:p>
    <w:p>
      <w:pPr>
        <w:ind w:firstLine="560"/>
        <w:rPr>
          <w:color w:val="000000" w:themeColor="text1"/>
          <w14:textFill>
            <w14:solidFill>
              <w14:schemeClr w14:val="tx1"/>
            </w14:solidFill>
          </w14:textFill>
        </w:rPr>
      </w:pPr>
      <w:r>
        <w:rPr>
          <w:color w:val="000000" w:themeColor="text1"/>
          <w14:textFill>
            <w14:solidFill>
              <w14:schemeClr w14:val="tx1"/>
            </w14:solidFill>
          </w14:textFill>
        </w:rPr>
        <w:t>主要事故类型、释放环境风险物质的扩散途径、设计环境风险防控与应急措施、应急资源情况分析见表4-7。</w:t>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表4-7  主要事故类型、释放环境风险物质的扩散途径、</w:t>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涉及环境风险防控与应急措施、应急资源情况分析</w:t>
      </w:r>
    </w:p>
    <w:tbl>
      <w:tblPr>
        <w:tblStyle w:val="22"/>
        <w:tblW w:w="5000"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29"/>
        <w:gridCol w:w="875"/>
        <w:gridCol w:w="657"/>
        <w:gridCol w:w="887"/>
        <w:gridCol w:w="657"/>
        <w:gridCol w:w="3432"/>
        <w:gridCol w:w="159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jc w:val="center"/>
        </w:trPr>
        <w:tc>
          <w:tcPr>
            <w:tcW w:w="252" w:type="pct"/>
            <w:tcBorders>
              <w:top w:val="single" w:color="auto" w:sz="8" w:space="0"/>
              <w:left w:val="single" w:color="auto" w:sz="8" w:space="0"/>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序号</w:t>
            </w:r>
          </w:p>
        </w:tc>
        <w:tc>
          <w:tcPr>
            <w:tcW w:w="513" w:type="pct"/>
            <w:tcBorders>
              <w:top w:val="single" w:color="auto" w:sz="8"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突发环境事件情景</w:t>
            </w:r>
          </w:p>
        </w:tc>
        <w:tc>
          <w:tcPr>
            <w:tcW w:w="385" w:type="pct"/>
            <w:tcBorders>
              <w:top w:val="single" w:color="auto" w:sz="8"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主要事故类型</w:t>
            </w:r>
          </w:p>
        </w:tc>
        <w:tc>
          <w:tcPr>
            <w:tcW w:w="520" w:type="pct"/>
            <w:tcBorders>
              <w:top w:val="single" w:color="auto" w:sz="8"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涉及环境风险物质名称</w:t>
            </w:r>
          </w:p>
        </w:tc>
        <w:tc>
          <w:tcPr>
            <w:tcW w:w="385" w:type="pct"/>
            <w:tcBorders>
              <w:top w:val="single" w:color="auto" w:sz="8"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扩散途径</w:t>
            </w:r>
          </w:p>
        </w:tc>
        <w:tc>
          <w:tcPr>
            <w:tcW w:w="2012" w:type="pct"/>
            <w:tcBorders>
              <w:top w:val="single" w:color="auto" w:sz="8"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环境风险防控与应急措施</w:t>
            </w:r>
          </w:p>
        </w:tc>
        <w:tc>
          <w:tcPr>
            <w:tcW w:w="933" w:type="pct"/>
            <w:tcBorders>
              <w:top w:val="single" w:color="auto" w:sz="8" w:space="0"/>
              <w:left w:val="nil"/>
              <w:bottom w:val="single" w:color="000000" w:sz="4" w:space="0"/>
              <w:right w:val="single" w:color="auto" w:sz="8"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应急资源情况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jc w:val="center"/>
        </w:trPr>
        <w:tc>
          <w:tcPr>
            <w:tcW w:w="252" w:type="pct"/>
            <w:tcBorders>
              <w:top w:val="single" w:color="000000" w:sz="4" w:space="0"/>
              <w:left w:val="single" w:color="auto" w:sz="8" w:space="0"/>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513" w:type="pct"/>
            <w:tcBorders>
              <w:top w:val="single" w:color="000000" w:sz="4"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危化品泄漏</w:t>
            </w:r>
          </w:p>
        </w:tc>
        <w:tc>
          <w:tcPr>
            <w:tcW w:w="385" w:type="pct"/>
            <w:tcBorders>
              <w:top w:val="single" w:color="000000" w:sz="4"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泄漏、翻车</w:t>
            </w:r>
          </w:p>
        </w:tc>
        <w:tc>
          <w:tcPr>
            <w:tcW w:w="520" w:type="pct"/>
            <w:tcBorders>
              <w:top w:val="single" w:color="000000" w:sz="4" w:space="0"/>
              <w:left w:val="nil"/>
              <w:bottom w:val="single" w:color="auto"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危险化学品</w:t>
            </w:r>
          </w:p>
        </w:tc>
        <w:tc>
          <w:tcPr>
            <w:tcW w:w="385" w:type="pct"/>
            <w:tcBorders>
              <w:top w:val="single" w:color="000000" w:sz="4" w:space="0"/>
              <w:left w:val="nil"/>
              <w:bottom w:val="single" w:color="auto"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环境大气、土壤、地表水体</w:t>
            </w:r>
          </w:p>
        </w:tc>
        <w:tc>
          <w:tcPr>
            <w:tcW w:w="2012" w:type="pct"/>
            <w:tcBorders>
              <w:top w:val="single" w:color="000000" w:sz="4" w:space="0"/>
              <w:left w:val="nil"/>
              <w:bottom w:val="single" w:color="000000" w:sz="4" w:space="0"/>
              <w:right w:val="single" w:color="000000" w:sz="4" w:space="0"/>
            </w:tcBorders>
            <w:shd w:val="clear" w:color="auto" w:fill="auto"/>
            <w:vAlign w:val="center"/>
          </w:tcPr>
          <w:p>
            <w:pPr>
              <w:pStyle w:val="58"/>
              <w:jc w:val="left"/>
              <w:rPr>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①</w:t>
            </w:r>
            <w:r>
              <w:rPr>
                <w:color w:val="000000" w:themeColor="text1"/>
                <w:sz w:val="21"/>
                <w:szCs w:val="21"/>
                <w14:textFill>
                  <w14:solidFill>
                    <w14:schemeClr w14:val="tx1"/>
                  </w14:solidFill>
                </w14:textFill>
              </w:rPr>
              <w:t>事故易发路段设置监控设施，并设置警示牌。</w:t>
            </w:r>
          </w:p>
          <w:p>
            <w:pPr>
              <w:pStyle w:val="58"/>
              <w:jc w:val="left"/>
              <w:rPr>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②</w:t>
            </w:r>
            <w:r>
              <w:rPr>
                <w:color w:val="000000" w:themeColor="text1"/>
                <w:sz w:val="21"/>
                <w:szCs w:val="21"/>
                <w14:textFill>
                  <w14:solidFill>
                    <w14:schemeClr w14:val="tx1"/>
                  </w14:solidFill>
                </w14:textFill>
              </w:rPr>
              <w:t>发生泄漏等事故时，立即通知当地道路管理部门，要求采取断交、限行等措施限制车辆的通行；</w:t>
            </w:r>
          </w:p>
          <w:p>
            <w:pPr>
              <w:pStyle w:val="58"/>
              <w:jc w:val="left"/>
              <w:rPr>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③</w:t>
            </w:r>
            <w:r>
              <w:rPr>
                <w:rFonts w:hint="eastAsia" w:ascii="Times New Roman" w:hAnsi="Times New Roman" w:cs="Times New Roman"/>
                <w:color w:val="000000" w:themeColor="text1"/>
                <w:sz w:val="21"/>
                <w:szCs w:val="21"/>
                <w:lang w:eastAsia="zh-CN"/>
                <w14:textFill>
                  <w14:solidFill>
                    <w14:schemeClr w14:val="tx1"/>
                  </w14:solidFill>
                </w14:textFill>
              </w:rPr>
              <w:t>立交</w:t>
            </w:r>
            <w:r>
              <w:rPr>
                <w:rFonts w:ascii="Times New Roman" w:hAnsi="Times New Roman" w:cs="Times New Roman"/>
                <w:color w:val="000000" w:themeColor="text1"/>
                <w:sz w:val="21"/>
                <w:szCs w:val="21"/>
                <w14:textFill>
                  <w14:solidFill>
                    <w14:schemeClr w14:val="tx1"/>
                  </w14:solidFill>
                </w14:textFill>
              </w:rPr>
              <w:t>两</w:t>
            </w:r>
            <w:r>
              <w:rPr>
                <w:color w:val="000000" w:themeColor="text1"/>
                <w:sz w:val="21"/>
                <w:szCs w:val="21"/>
                <w14:textFill>
                  <w14:solidFill>
                    <w14:schemeClr w14:val="tx1"/>
                  </w14:solidFill>
                </w14:textFill>
              </w:rPr>
              <w:t>侧设置加固防撞护栏。</w:t>
            </w:r>
          </w:p>
        </w:tc>
        <w:tc>
          <w:tcPr>
            <w:tcW w:w="933" w:type="pct"/>
            <w:tcBorders>
              <w:top w:val="single" w:color="000000" w:sz="4" w:space="0"/>
              <w:left w:val="nil"/>
              <w:bottom w:val="single" w:color="000000" w:sz="4" w:space="0"/>
              <w:right w:val="single" w:color="auto" w:sz="8"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呼机、警示牌、铲车、砂土、自卸汽车、摄像机、指示牌、石灰、铁锹、编织袋等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jc w:val="center"/>
        </w:trPr>
        <w:tc>
          <w:tcPr>
            <w:tcW w:w="252" w:type="pct"/>
            <w:tcBorders>
              <w:top w:val="single" w:color="000000" w:sz="4" w:space="0"/>
              <w:left w:val="single" w:color="auto" w:sz="8" w:space="0"/>
              <w:bottom w:val="single" w:color="auto" w:sz="8"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w:t>
            </w:r>
          </w:p>
        </w:tc>
        <w:tc>
          <w:tcPr>
            <w:tcW w:w="513" w:type="pct"/>
            <w:tcBorders>
              <w:top w:val="single" w:color="000000" w:sz="4" w:space="0"/>
              <w:left w:val="nil"/>
              <w:bottom w:val="single" w:color="auto" w:sz="8"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油品等爆炸、火灾事故</w:t>
            </w:r>
          </w:p>
        </w:tc>
        <w:tc>
          <w:tcPr>
            <w:tcW w:w="385" w:type="pct"/>
            <w:tcBorders>
              <w:top w:val="single" w:color="000000" w:sz="4" w:space="0"/>
              <w:left w:val="nil"/>
              <w:bottom w:val="single" w:color="auto" w:sz="8"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爆炸、着火</w:t>
            </w:r>
          </w:p>
        </w:tc>
        <w:tc>
          <w:tcPr>
            <w:tcW w:w="520" w:type="pct"/>
            <w:tcBorders>
              <w:top w:val="single" w:color="000000" w:sz="4" w:space="0"/>
              <w:left w:val="nil"/>
              <w:bottom w:val="single" w:color="auto" w:sz="8"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油品</w:t>
            </w:r>
          </w:p>
        </w:tc>
        <w:tc>
          <w:tcPr>
            <w:tcW w:w="385" w:type="pct"/>
            <w:tcBorders>
              <w:top w:val="single" w:color="000000" w:sz="4" w:space="0"/>
              <w:left w:val="nil"/>
              <w:bottom w:val="single" w:color="auto" w:sz="8"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环境大气</w:t>
            </w:r>
          </w:p>
        </w:tc>
        <w:tc>
          <w:tcPr>
            <w:tcW w:w="2012" w:type="pct"/>
            <w:tcBorders>
              <w:top w:val="single" w:color="000000" w:sz="4" w:space="0"/>
              <w:left w:val="nil"/>
              <w:bottom w:val="single" w:color="auto" w:sz="8" w:space="0"/>
              <w:right w:val="single" w:color="000000" w:sz="4" w:space="0"/>
            </w:tcBorders>
            <w:shd w:val="clear" w:color="auto" w:fill="auto"/>
            <w:vAlign w:val="center"/>
          </w:tcPr>
          <w:p>
            <w:pPr>
              <w:pStyle w:val="58"/>
              <w:jc w:val="left"/>
              <w:rPr>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①</w:t>
            </w:r>
            <w:r>
              <w:rPr>
                <w:color w:val="000000" w:themeColor="text1"/>
                <w:sz w:val="21"/>
                <w:szCs w:val="21"/>
                <w14:textFill>
                  <w14:solidFill>
                    <w14:schemeClr w14:val="tx1"/>
                  </w14:solidFill>
                </w14:textFill>
              </w:rPr>
              <w:t>启动应急预案，并上报当地县区政府和环保部门，立即按照预案调派交巡、路政等力量赶赴现场。</w:t>
            </w:r>
          </w:p>
          <w:p>
            <w:pPr>
              <w:pStyle w:val="58"/>
              <w:jc w:val="left"/>
              <w:rPr>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②</w:t>
            </w:r>
            <w:r>
              <w:rPr>
                <w:color w:val="000000" w:themeColor="text1"/>
                <w:sz w:val="21"/>
                <w:szCs w:val="21"/>
                <w14:textFill>
                  <w14:solidFill>
                    <w14:schemeClr w14:val="tx1"/>
                  </w14:solidFill>
                </w14:textFill>
              </w:rPr>
              <w:t>实施警戒。第一到场力量对危险区域实施控制，在事故现场划分警戒区、轻微区、重危区、设置警戒线。</w:t>
            </w:r>
          </w:p>
          <w:p>
            <w:pPr>
              <w:pStyle w:val="58"/>
              <w:jc w:val="left"/>
              <w:rPr>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③</w:t>
            </w:r>
            <w:r>
              <w:rPr>
                <w:color w:val="000000" w:themeColor="text1"/>
                <w:sz w:val="21"/>
                <w:szCs w:val="21"/>
                <w14:textFill>
                  <w14:solidFill>
                    <w14:schemeClr w14:val="tx1"/>
                  </w14:solidFill>
                </w14:textFill>
              </w:rPr>
              <w:t>对现场火灾进行灭火处理。</w:t>
            </w:r>
          </w:p>
          <w:p>
            <w:pPr>
              <w:pStyle w:val="58"/>
              <w:jc w:val="left"/>
              <w:rPr>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④</w:t>
            </w:r>
            <w:r>
              <w:rPr>
                <w:color w:val="000000" w:themeColor="text1"/>
                <w:sz w:val="21"/>
                <w:szCs w:val="21"/>
                <w14:textFill>
                  <w14:solidFill>
                    <w14:schemeClr w14:val="tx1"/>
                  </w14:solidFill>
                </w14:textFill>
              </w:rPr>
              <w:t>组织人员撤离，对敏感区域内居民进行疏散。</w:t>
            </w:r>
          </w:p>
          <w:p>
            <w:pPr>
              <w:pStyle w:val="58"/>
              <w:jc w:val="left"/>
              <w:rPr>
                <w:color w:val="000000" w:themeColor="text1"/>
                <w:sz w:val="21"/>
                <w:szCs w:val="21"/>
                <w14:textFill>
                  <w14:solidFill>
                    <w14:schemeClr w14:val="tx1"/>
                  </w14:solidFill>
                </w14:textFill>
              </w:rPr>
            </w:pPr>
            <w:r>
              <w:rPr>
                <w:rFonts w:hint="eastAsia" w:ascii="宋体" w:hAnsi="宋体" w:eastAsia="宋体" w:cs="宋体"/>
                <w:color w:val="000000" w:themeColor="text1"/>
                <w:sz w:val="21"/>
                <w:szCs w:val="21"/>
                <w14:textFill>
                  <w14:solidFill>
                    <w14:schemeClr w14:val="tx1"/>
                  </w14:solidFill>
                </w14:textFill>
              </w:rPr>
              <w:t>⑤</w:t>
            </w:r>
            <w:r>
              <w:rPr>
                <w:color w:val="000000" w:themeColor="text1"/>
                <w:sz w:val="21"/>
                <w:szCs w:val="21"/>
                <w14:textFill>
                  <w14:solidFill>
                    <w14:schemeClr w14:val="tx1"/>
                  </w14:solidFill>
                </w14:textFill>
              </w:rPr>
              <w:t>对油罐车爆炸、火灾产生的废弃物收集并分类处理。</w:t>
            </w:r>
          </w:p>
        </w:tc>
        <w:tc>
          <w:tcPr>
            <w:tcW w:w="933" w:type="pct"/>
            <w:tcBorders>
              <w:top w:val="single" w:color="000000" w:sz="4" w:space="0"/>
              <w:left w:val="nil"/>
              <w:bottom w:val="single" w:color="auto" w:sz="8" w:space="0"/>
              <w:right w:val="single" w:color="auto" w:sz="8"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灭火器、呼机、警示牌、铲车、砂土、自卸汽车等</w:t>
            </w:r>
          </w:p>
        </w:tc>
      </w:tr>
    </w:tbl>
    <w:p>
      <w:pPr>
        <w:pStyle w:val="55"/>
        <w:rPr>
          <w:color w:val="000000" w:themeColor="text1"/>
          <w14:textFill>
            <w14:solidFill>
              <w14:schemeClr w14:val="tx1"/>
            </w14:solidFill>
          </w14:textFill>
        </w:rPr>
      </w:pPr>
    </w:p>
    <w:p>
      <w:pPr>
        <w:pStyle w:val="10"/>
        <w:ind w:firstLine="321"/>
        <w:rPr>
          <w:color w:val="000000" w:themeColor="text1"/>
          <w14:textFill>
            <w14:solidFill>
              <w14:schemeClr w14:val="tx1"/>
            </w14:solidFill>
          </w14:textFill>
        </w:rPr>
      </w:pPr>
      <w:bookmarkStart w:id="149" w:name="_Toc47541607"/>
      <w:bookmarkEnd w:id="149"/>
      <w:bookmarkStart w:id="150" w:name="_Toc461992066"/>
      <w:bookmarkEnd w:id="150"/>
      <w:bookmarkStart w:id="151" w:name="_Toc69739749"/>
      <w:bookmarkStart w:id="152" w:name="_Toc80973315"/>
      <w:bookmarkStart w:id="153" w:name="_Toc456279523"/>
      <w:r>
        <w:rPr>
          <w:color w:val="000000" w:themeColor="text1"/>
          <w14:textFill>
            <w14:solidFill>
              <w14:schemeClr w14:val="tx1"/>
            </w14:solidFill>
          </w14:textFill>
        </w:rPr>
        <w:t>4.4 突发环境事件危害后果分析</w:t>
      </w:r>
      <w:bookmarkEnd w:id="151"/>
      <w:bookmarkEnd w:id="152"/>
      <w:bookmarkEnd w:id="153"/>
    </w:p>
    <w:p>
      <w:pPr>
        <w:ind w:firstLine="560"/>
        <w:rPr>
          <w:color w:val="000000" w:themeColor="text1"/>
          <w14:textFill>
            <w14:solidFill>
              <w14:schemeClr w14:val="tx1"/>
            </w14:solidFill>
          </w14:textFill>
        </w:rPr>
      </w:pPr>
      <w:bookmarkStart w:id="154" w:name="_Toc456279524"/>
      <w:bookmarkEnd w:id="154"/>
      <w:bookmarkStart w:id="155" w:name="_Toc461992067"/>
      <w:r>
        <w:rPr>
          <w:color w:val="000000" w:themeColor="text1"/>
          <w14:textFill>
            <w14:solidFill>
              <w14:schemeClr w14:val="tx1"/>
            </w14:solidFill>
          </w14:textFill>
        </w:rPr>
        <w:t>本项目突发环境事件主要为</w:t>
      </w:r>
      <w:bookmarkEnd w:id="155"/>
      <w:r>
        <w:rPr>
          <w:color w:val="000000" w:themeColor="text1"/>
          <w:kern w:val="0"/>
          <w14:textFill>
            <w14:solidFill>
              <w14:schemeClr w14:val="tx1"/>
            </w14:solidFill>
          </w14:textFill>
        </w:rPr>
        <w:t>运输危险化学品车辆的交通事故</w:t>
      </w:r>
      <w:r>
        <w:rPr>
          <w:color w:val="000000" w:themeColor="text1"/>
          <w14:textFill>
            <w14:solidFill>
              <w14:schemeClr w14:val="tx1"/>
            </w14:solidFill>
          </w14:textFill>
        </w:rPr>
        <w:t>对周围环境及居民安全产生影响。</w:t>
      </w:r>
    </w:p>
    <w:p>
      <w:pPr>
        <w:ind w:firstLine="562"/>
        <w:rPr>
          <w:b/>
          <w:bCs/>
          <w:color w:val="000000" w:themeColor="text1"/>
          <w14:textFill>
            <w14:solidFill>
              <w14:schemeClr w14:val="tx1"/>
            </w14:solidFill>
          </w14:textFill>
        </w:rPr>
      </w:pPr>
      <w:r>
        <w:rPr>
          <w:b/>
          <w:bCs/>
          <w:color w:val="000000" w:themeColor="text1"/>
          <w14:textFill>
            <w14:solidFill>
              <w14:schemeClr w14:val="tx1"/>
            </w14:solidFill>
          </w14:textFill>
        </w:rPr>
        <w:t>（1）油罐车泄漏进入沿线水体</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本项目以路基</w:t>
      </w:r>
      <w:r>
        <w:rPr>
          <w:rFonts w:hint="eastAsia"/>
          <w:color w:val="000000" w:themeColor="text1"/>
          <w:lang w:eastAsia="zh-CN"/>
          <w14:textFill>
            <w14:solidFill>
              <w14:schemeClr w14:val="tx1"/>
            </w14:solidFill>
          </w14:textFill>
        </w:rPr>
        <w:t>、</w:t>
      </w:r>
      <w:r>
        <w:rPr>
          <w:rFonts w:hint="eastAsia"/>
          <w:color w:val="000000" w:themeColor="text1"/>
          <w14:textFill>
            <w14:solidFill>
              <w14:schemeClr w14:val="tx1"/>
            </w14:solidFill>
          </w14:textFill>
        </w:rPr>
        <w:t>桥梁形式</w:t>
      </w:r>
      <w:r>
        <w:rPr>
          <w:rFonts w:hint="eastAsia"/>
          <w:color w:val="000000" w:themeColor="text1"/>
          <w:lang w:eastAsia="zh-CN"/>
          <w14:textFill>
            <w14:solidFill>
              <w14:schemeClr w14:val="tx1"/>
            </w14:solidFill>
          </w14:textFill>
        </w:rPr>
        <w:t>穿越灞河地下水源二级保护区</w:t>
      </w:r>
      <w:r>
        <w:rPr>
          <w:rFonts w:hint="eastAsia"/>
          <w:color w:val="000000" w:themeColor="text1"/>
          <w14:textFill>
            <w14:solidFill>
              <w14:schemeClr w14:val="tx1"/>
            </w14:solidFill>
          </w14:textFill>
        </w:rPr>
        <w:t>，高速公路运输危险化学品的车辆如果在以上路段发生事故，将有可能造成危险化学品的泄露，泄露的危险化学品对环境造成较大的污染风险。</w:t>
      </w:r>
    </w:p>
    <w:p>
      <w:pPr>
        <w:ind w:firstLine="560"/>
        <w:rPr>
          <w:color w:val="000000" w:themeColor="text1"/>
          <w:kern w:val="0"/>
          <w14:textFill>
            <w14:solidFill>
              <w14:schemeClr w14:val="tx1"/>
            </w14:solidFill>
          </w14:textFill>
        </w:rPr>
      </w:pPr>
      <w:r>
        <w:rPr>
          <w:color w:val="000000" w:themeColor="text1"/>
          <w:kern w:val="0"/>
          <w14:textFill>
            <w14:solidFill>
              <w14:schemeClr w14:val="tx1"/>
            </w14:solidFill>
          </w14:textFill>
        </w:rPr>
        <w:t>油品进入水体后，成品油会迅速浮于水面上，在重力和表面张力的作用下，会在水面上形成油膜向四周扩散，成品油中的可溶组分会溶于水中。可溶性组分主要是低碳的直链烷烃和一些芳香烃</w:t>
      </w:r>
      <w:r>
        <w:rPr>
          <w:rFonts w:hint="eastAsia"/>
          <w:color w:val="000000" w:themeColor="text1"/>
          <w:kern w:val="0"/>
          <w:lang w:eastAsia="zh-CN"/>
          <w14:textFill>
            <w14:solidFill>
              <w14:schemeClr w14:val="tx1"/>
            </w14:solidFill>
          </w14:textFill>
        </w:rPr>
        <w:t>，</w:t>
      </w:r>
      <w:r>
        <w:rPr>
          <w:rFonts w:hint="eastAsia"/>
          <w:color w:val="000000" w:themeColor="text1"/>
          <w:kern w:val="0"/>
          <w14:textFill>
            <w14:solidFill>
              <w14:schemeClr w14:val="tx1"/>
            </w14:solidFill>
          </w14:textFill>
        </w:rPr>
        <w:t>项目沿线有</w:t>
      </w:r>
      <w:r>
        <w:rPr>
          <w:rFonts w:hint="eastAsia"/>
          <w:color w:val="000000" w:themeColor="text1"/>
          <w:kern w:val="0"/>
          <w:lang w:eastAsia="zh-CN"/>
          <w14:textFill>
            <w14:solidFill>
              <w14:schemeClr w14:val="tx1"/>
            </w14:solidFill>
          </w14:textFill>
        </w:rPr>
        <w:t>灞河地下水源</w:t>
      </w:r>
      <w:r>
        <w:rPr>
          <w:rFonts w:hint="eastAsia"/>
          <w:color w:val="000000" w:themeColor="text1"/>
          <w:kern w:val="0"/>
          <w14:textFill>
            <w14:solidFill>
              <w14:schemeClr w14:val="tx1"/>
            </w14:solidFill>
          </w14:textFill>
        </w:rPr>
        <w:t>，</w:t>
      </w:r>
      <w:r>
        <w:rPr>
          <w:rFonts w:hint="eastAsia"/>
          <w:color w:val="000000" w:themeColor="text1"/>
          <w:kern w:val="0"/>
          <w:lang w:eastAsia="zh-CN"/>
          <w14:textFill>
            <w14:solidFill>
              <w14:schemeClr w14:val="tx1"/>
            </w14:solidFill>
          </w14:textFill>
        </w:rPr>
        <w:t>水体</w:t>
      </w:r>
      <w:r>
        <w:rPr>
          <w:rFonts w:hint="eastAsia"/>
          <w:color w:val="000000" w:themeColor="text1"/>
          <w:kern w:val="0"/>
          <w14:textFill>
            <w14:solidFill>
              <w14:schemeClr w14:val="tx1"/>
            </w14:solidFill>
          </w14:textFill>
        </w:rPr>
        <w:t>极为敏感，油品泄漏，油污水进入河道</w:t>
      </w:r>
      <w:r>
        <w:rPr>
          <w:rFonts w:hint="eastAsia"/>
          <w:color w:val="000000" w:themeColor="text1"/>
          <w:kern w:val="0"/>
          <w:lang w:eastAsia="zh-CN"/>
          <w14:textFill>
            <w14:solidFill>
              <w14:schemeClr w14:val="tx1"/>
            </w14:solidFill>
          </w14:textFill>
        </w:rPr>
        <w:t>或土壤</w:t>
      </w:r>
      <w:r>
        <w:rPr>
          <w:rFonts w:hint="eastAsia"/>
          <w:color w:val="000000" w:themeColor="text1"/>
          <w:kern w:val="0"/>
          <w14:textFill>
            <w14:solidFill>
              <w14:schemeClr w14:val="tx1"/>
            </w14:solidFill>
          </w14:textFill>
        </w:rPr>
        <w:t>，</w:t>
      </w:r>
      <w:r>
        <w:rPr>
          <w:rFonts w:hint="eastAsia"/>
          <w:color w:val="000000" w:themeColor="text1"/>
          <w:kern w:val="0"/>
          <w:lang w:eastAsia="zh-CN"/>
          <w14:textFill>
            <w14:solidFill>
              <w14:schemeClr w14:val="tx1"/>
            </w14:solidFill>
          </w14:textFill>
        </w:rPr>
        <w:t>渗入地下水中，会影响地下水源地</w:t>
      </w:r>
      <w:r>
        <w:rPr>
          <w:rFonts w:hint="eastAsia"/>
          <w:color w:val="000000" w:themeColor="text1"/>
          <w:kern w:val="0"/>
          <w14:textFill>
            <w14:solidFill>
              <w14:schemeClr w14:val="tx1"/>
            </w14:solidFill>
          </w14:textFill>
        </w:rPr>
        <w:t>。</w:t>
      </w:r>
    </w:p>
    <w:p>
      <w:pPr>
        <w:ind w:firstLine="562"/>
        <w:rPr>
          <w:b/>
          <w:bCs/>
          <w:color w:val="000000" w:themeColor="text1"/>
          <w14:textFill>
            <w14:solidFill>
              <w14:schemeClr w14:val="tx1"/>
            </w14:solidFill>
          </w14:textFill>
        </w:rPr>
      </w:pPr>
      <w:r>
        <w:rPr>
          <w:b/>
          <w:bCs/>
          <w:color w:val="000000" w:themeColor="text1"/>
          <w:kern w:val="0"/>
          <w14:textFill>
            <w14:solidFill>
              <w14:schemeClr w14:val="tx1"/>
            </w14:solidFill>
          </w14:textFill>
        </w:rPr>
        <w:t>（2）油罐运输车辆发生火灾、爆炸</w:t>
      </w:r>
    </w:p>
    <w:p>
      <w:pPr>
        <w:ind w:firstLine="560"/>
        <w:rPr>
          <w:color w:val="000000" w:themeColor="text1"/>
          <w14:textFill>
            <w14:solidFill>
              <w14:schemeClr w14:val="tx1"/>
            </w14:solidFill>
          </w14:textFill>
        </w:rPr>
      </w:pPr>
      <w:r>
        <w:rPr>
          <w:color w:val="000000" w:themeColor="text1"/>
          <w:kern w:val="0"/>
          <w14:textFill>
            <w14:solidFill>
              <w14:schemeClr w14:val="tx1"/>
            </w14:solidFill>
          </w14:textFill>
        </w:rPr>
        <w:t>油品的燃烧或爆炸引起的后果相当严重，不但会造成人员伤亡和财产损失，大量成品油的泄漏和燃烧，也将给大气、土壤、水体、生态环境造成严重的综合污染，尤其是对水体和土壤的污染影响将是一个相当长的时间。此外，</w:t>
      </w:r>
      <w:r>
        <w:rPr>
          <w:color w:val="000000" w:themeColor="text1"/>
          <w14:textFill>
            <w14:solidFill>
              <w14:schemeClr w14:val="tx1"/>
            </w14:solidFill>
          </w14:textFill>
        </w:rPr>
        <w:t>一旦发生运输危险化学品车辆的火灾、爆炸事故，消防废水也可能携带有大量污染物进入外环境中，对</w:t>
      </w:r>
      <w:r>
        <w:rPr>
          <w:rFonts w:hint="eastAsia"/>
          <w:color w:val="000000" w:themeColor="text1"/>
          <w14:textFill>
            <w14:solidFill>
              <w14:schemeClr w14:val="tx1"/>
            </w14:solidFill>
          </w14:textFill>
        </w:rPr>
        <w:t>保护区及</w:t>
      </w:r>
      <w:r>
        <w:rPr>
          <w:color w:val="000000" w:themeColor="text1"/>
          <w14:textFill>
            <w14:solidFill>
              <w14:schemeClr w14:val="tx1"/>
            </w14:solidFill>
          </w14:textFill>
        </w:rPr>
        <w:t>沿线水体及土壤产生不利影响。</w:t>
      </w:r>
    </w:p>
    <w:p>
      <w:pPr>
        <w:ind w:firstLine="0" w:firstLineChars="0"/>
        <w:rPr>
          <w:color w:val="000000" w:themeColor="text1"/>
          <w:szCs w:val="28"/>
          <w14:textFill>
            <w14:solidFill>
              <w14:schemeClr w14:val="tx1"/>
            </w14:solidFill>
          </w14:textFill>
        </w:rPr>
        <w:sectPr>
          <w:pgSz w:w="11906" w:h="16838"/>
          <w:pgMar w:top="1440" w:right="1797" w:bottom="1440" w:left="1797" w:header="851" w:footer="992" w:gutter="0"/>
          <w:cols w:space="720" w:num="1"/>
          <w:docGrid w:type="lines" w:linePitch="312" w:charSpace="0"/>
        </w:sectPr>
      </w:pPr>
      <w:bookmarkStart w:id="156" w:name="_Toc444845475"/>
      <w:bookmarkEnd w:id="156"/>
      <w:bookmarkStart w:id="157" w:name="_Toc431402315"/>
      <w:bookmarkEnd w:id="157"/>
      <w:bookmarkStart w:id="158" w:name="_Toc456279527"/>
      <w:bookmarkEnd w:id="158"/>
      <w:bookmarkStart w:id="159" w:name="_Toc461992070"/>
      <w:bookmarkEnd w:id="159"/>
    </w:p>
    <w:p>
      <w:pPr>
        <w:pStyle w:val="9"/>
        <w:rPr>
          <w:color w:val="000000" w:themeColor="text1"/>
          <w14:textFill>
            <w14:solidFill>
              <w14:schemeClr w14:val="tx1"/>
            </w14:solidFill>
          </w14:textFill>
        </w:rPr>
      </w:pPr>
      <w:bookmarkStart w:id="160" w:name="_Toc47541608"/>
      <w:bookmarkEnd w:id="160"/>
      <w:bookmarkStart w:id="161" w:name="_Toc69739750"/>
      <w:bookmarkStart w:id="162" w:name="_Toc80973316"/>
      <w:r>
        <w:rPr>
          <w:color w:val="000000" w:themeColor="text1"/>
          <w14:textFill>
            <w14:solidFill>
              <w14:schemeClr w14:val="tx1"/>
            </w14:solidFill>
          </w14:textFill>
        </w:rPr>
        <w:t>5 现有环境风险防控和应急措施差距分析</w:t>
      </w:r>
      <w:bookmarkEnd w:id="161"/>
      <w:bookmarkEnd w:id="162"/>
    </w:p>
    <w:p>
      <w:pPr>
        <w:ind w:firstLine="560"/>
        <w:rPr>
          <w:color w:val="000000" w:themeColor="text1"/>
          <w14:textFill>
            <w14:solidFill>
              <w14:schemeClr w14:val="tx1"/>
            </w14:solidFill>
          </w14:textFill>
        </w:rPr>
      </w:pPr>
      <w:bookmarkStart w:id="163" w:name="_Toc397615830"/>
      <w:bookmarkEnd w:id="163"/>
      <w:bookmarkStart w:id="164" w:name="_Toc47541609"/>
      <w:bookmarkEnd w:id="164"/>
      <w:bookmarkStart w:id="165" w:name="_Toc460264335"/>
      <w:bookmarkEnd w:id="165"/>
      <w:bookmarkStart w:id="166" w:name="_Toc461992071"/>
      <w:bookmarkEnd w:id="166"/>
      <w:bookmarkStart w:id="167" w:name="_Toc432026993"/>
      <w:bookmarkEnd w:id="167"/>
      <w:r>
        <w:rPr>
          <w:rFonts w:hint="eastAsia"/>
          <w:color w:val="000000" w:themeColor="text1"/>
          <w14:textFill>
            <w14:solidFill>
              <w14:schemeClr w14:val="tx1"/>
            </w14:solidFill>
          </w14:textFill>
        </w:rPr>
        <w:t>环境管理即通过对损坏环境质量的人为活动施加影响，以协调经济与环境的关系，既达到发展经济的需要，又不超出环境容量的限制。为最大限度地减轻运营过程中的环境影响，确保环境安全，建立科学有效的环境管理体制，落实各项环保和安全措施显得尤为重要。</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本次评估从以下几个方面对现有环境风险防控与应急措施的完备性、可靠性和有效性进行分析论证，找出差距、问题，提出需要整改的内容及期限。</w:t>
      </w:r>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西安绕城高速公路通行能力提升工程</w:t>
      </w:r>
      <w:r>
        <w:rPr>
          <w:color w:val="000000" w:themeColor="text1"/>
          <w14:textFill>
            <w14:solidFill>
              <w14:schemeClr w14:val="tx1"/>
            </w14:solidFill>
          </w14:textFill>
        </w:rPr>
        <w:t>现有环境风险管理制度及差距分析情况见表5-1。</w:t>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表5-1  项目现有环境风险管理制度及差距分析一览表</w:t>
      </w:r>
    </w:p>
    <w:tbl>
      <w:tblPr>
        <w:tblStyle w:val="2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645"/>
        <w:gridCol w:w="704"/>
        <w:gridCol w:w="3669"/>
        <w:gridCol w:w="3510"/>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blHeader/>
          <w:jc w:val="center"/>
        </w:trPr>
        <w:tc>
          <w:tcPr>
            <w:tcW w:w="378"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序号</w:t>
            </w:r>
          </w:p>
        </w:tc>
        <w:tc>
          <w:tcPr>
            <w:tcW w:w="413"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项目</w:t>
            </w:r>
          </w:p>
        </w:tc>
        <w:tc>
          <w:tcPr>
            <w:tcW w:w="2151"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评估依据</w:t>
            </w:r>
          </w:p>
        </w:tc>
        <w:tc>
          <w:tcPr>
            <w:tcW w:w="2058"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差距分析</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378" w:type="pct"/>
            <w:vMerge w:val="restar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w:t>
            </w:r>
          </w:p>
        </w:tc>
        <w:tc>
          <w:tcPr>
            <w:tcW w:w="413" w:type="pct"/>
            <w:vMerge w:val="restar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环境风险管理制度</w:t>
            </w:r>
          </w:p>
        </w:tc>
        <w:tc>
          <w:tcPr>
            <w:tcW w:w="2151" w:type="pct"/>
            <w:shd w:val="clear" w:color="auto" w:fill="auto"/>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1）环境风险防控和应急措施制度是否建立；</w:t>
            </w:r>
          </w:p>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2）环境风险防控重点岗位责任人或责任机构是否明确；</w:t>
            </w:r>
          </w:p>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3）定期巡检和维护责任制度是否落实。</w:t>
            </w:r>
          </w:p>
        </w:tc>
        <w:tc>
          <w:tcPr>
            <w:tcW w:w="2058" w:type="pct"/>
            <w:shd w:val="clear" w:color="auto" w:fill="auto"/>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项目编制了《突发环境事件应急预案》，建立了环境风险防控和应急措施制度，明确了环境风险防控重点岗位的责任机构该，应急预案将与该风险评估报告一同备案。</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378" w:type="pct"/>
            <w:vMerge w:val="continue"/>
            <w:shd w:val="clear" w:color="auto" w:fill="auto"/>
            <w:vAlign w:val="center"/>
          </w:tcPr>
          <w:p>
            <w:pPr>
              <w:pStyle w:val="56"/>
              <w:rPr>
                <w:color w:val="000000" w:themeColor="text1"/>
                <w:sz w:val="21"/>
                <w:szCs w:val="21"/>
                <w14:textFill>
                  <w14:solidFill>
                    <w14:schemeClr w14:val="tx1"/>
                  </w14:solidFill>
                </w14:textFill>
              </w:rPr>
            </w:pPr>
          </w:p>
        </w:tc>
        <w:tc>
          <w:tcPr>
            <w:tcW w:w="413" w:type="pct"/>
            <w:vMerge w:val="continue"/>
            <w:shd w:val="clear" w:color="auto" w:fill="auto"/>
            <w:vAlign w:val="center"/>
          </w:tcPr>
          <w:p>
            <w:pPr>
              <w:pStyle w:val="56"/>
              <w:rPr>
                <w:color w:val="000000" w:themeColor="text1"/>
                <w:sz w:val="21"/>
                <w:szCs w:val="21"/>
                <w14:textFill>
                  <w14:solidFill>
                    <w14:schemeClr w14:val="tx1"/>
                  </w14:solidFill>
                </w14:textFill>
              </w:rPr>
            </w:pPr>
          </w:p>
        </w:tc>
        <w:tc>
          <w:tcPr>
            <w:tcW w:w="2151" w:type="pct"/>
            <w:shd w:val="clear" w:color="auto" w:fill="auto"/>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环评及批复文件的各项环境风险防控和应急措施要求是否落实。</w:t>
            </w:r>
          </w:p>
        </w:tc>
        <w:tc>
          <w:tcPr>
            <w:tcW w:w="2058" w:type="pct"/>
            <w:shd w:val="clear" w:color="auto" w:fill="auto"/>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基本符合环评要求的各项风险防控和应急措施要求。</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378" w:type="pct"/>
            <w:vMerge w:val="continue"/>
            <w:shd w:val="clear" w:color="auto" w:fill="auto"/>
            <w:vAlign w:val="center"/>
          </w:tcPr>
          <w:p>
            <w:pPr>
              <w:pStyle w:val="56"/>
              <w:rPr>
                <w:color w:val="000000" w:themeColor="text1"/>
                <w:sz w:val="21"/>
                <w:szCs w:val="21"/>
                <w14:textFill>
                  <w14:solidFill>
                    <w14:schemeClr w14:val="tx1"/>
                  </w14:solidFill>
                </w14:textFill>
              </w:rPr>
            </w:pPr>
          </w:p>
        </w:tc>
        <w:tc>
          <w:tcPr>
            <w:tcW w:w="413" w:type="pct"/>
            <w:vMerge w:val="continue"/>
            <w:shd w:val="clear" w:color="auto" w:fill="auto"/>
            <w:vAlign w:val="center"/>
          </w:tcPr>
          <w:p>
            <w:pPr>
              <w:pStyle w:val="56"/>
              <w:rPr>
                <w:color w:val="000000" w:themeColor="text1"/>
                <w:sz w:val="21"/>
                <w:szCs w:val="21"/>
                <w14:textFill>
                  <w14:solidFill>
                    <w14:schemeClr w14:val="tx1"/>
                  </w14:solidFill>
                </w14:textFill>
              </w:rPr>
            </w:pPr>
          </w:p>
        </w:tc>
        <w:tc>
          <w:tcPr>
            <w:tcW w:w="2151" w:type="pct"/>
            <w:shd w:val="clear" w:color="auto" w:fill="auto"/>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是否经常对职工开展环境风险和环境应急管理的培训。</w:t>
            </w:r>
          </w:p>
        </w:tc>
        <w:tc>
          <w:tcPr>
            <w:tcW w:w="2058" w:type="pct"/>
            <w:shd w:val="clear" w:color="auto" w:fill="auto"/>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有相应环境安全相关培训计划，并拟按计划定期开展专业培训，培训包括企业内部专业人士授课或聘请外部相关领域专家授课。</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378" w:type="pct"/>
            <w:vMerge w:val="continue"/>
            <w:shd w:val="clear" w:color="auto" w:fill="auto"/>
            <w:vAlign w:val="center"/>
          </w:tcPr>
          <w:p>
            <w:pPr>
              <w:pStyle w:val="56"/>
              <w:rPr>
                <w:color w:val="000000" w:themeColor="text1"/>
                <w:sz w:val="21"/>
                <w:szCs w:val="21"/>
                <w14:textFill>
                  <w14:solidFill>
                    <w14:schemeClr w14:val="tx1"/>
                  </w14:solidFill>
                </w14:textFill>
              </w:rPr>
            </w:pPr>
          </w:p>
        </w:tc>
        <w:tc>
          <w:tcPr>
            <w:tcW w:w="413" w:type="pct"/>
            <w:vMerge w:val="continue"/>
            <w:shd w:val="clear" w:color="auto" w:fill="auto"/>
            <w:vAlign w:val="center"/>
          </w:tcPr>
          <w:p>
            <w:pPr>
              <w:pStyle w:val="56"/>
              <w:rPr>
                <w:color w:val="000000" w:themeColor="text1"/>
                <w:sz w:val="21"/>
                <w:szCs w:val="21"/>
                <w14:textFill>
                  <w14:solidFill>
                    <w14:schemeClr w14:val="tx1"/>
                  </w14:solidFill>
                </w14:textFill>
              </w:rPr>
            </w:pPr>
          </w:p>
        </w:tc>
        <w:tc>
          <w:tcPr>
            <w:tcW w:w="2151" w:type="pct"/>
            <w:shd w:val="clear" w:color="auto" w:fill="auto"/>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是否建立突发环境事件信息报告制度，并有效执行。</w:t>
            </w:r>
          </w:p>
        </w:tc>
        <w:tc>
          <w:tcPr>
            <w:tcW w:w="2058" w:type="pct"/>
            <w:shd w:val="clear" w:color="auto" w:fill="auto"/>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已建立突发环境事件信息报告制度，应急通讯录见应急资源调查报告通讯录。</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378" w:type="pct"/>
            <w:vMerge w:val="restar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w:t>
            </w:r>
          </w:p>
        </w:tc>
        <w:tc>
          <w:tcPr>
            <w:tcW w:w="413" w:type="pct"/>
            <w:vMerge w:val="restar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环境风险防控与应急措施</w:t>
            </w:r>
          </w:p>
        </w:tc>
        <w:tc>
          <w:tcPr>
            <w:tcW w:w="2151" w:type="pct"/>
            <w:shd w:val="clear" w:color="auto" w:fill="auto"/>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是否在废气排放口、废水、雨水和清洁下水排放口对可能排出的环境风险物质，按照物质特性、危害，设置监视、控制措施；</w:t>
            </w:r>
          </w:p>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是否采取防止事故排水、污染物等扩散、排出厂界的措施，包括截流措施、事故排水收集措施、清净下水系统防控措施、雨水系统防控措施、生产废水处理系统防控措施等。</w:t>
            </w:r>
          </w:p>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分析每项措施的管理规定、岗位职责落实情况和措施的有效性</w:t>
            </w:r>
          </w:p>
        </w:tc>
        <w:tc>
          <w:tcPr>
            <w:tcW w:w="2058" w:type="pct"/>
            <w:shd w:val="clear" w:color="auto" w:fill="auto"/>
            <w:vAlign w:val="center"/>
          </w:tcPr>
          <w:p>
            <w:pPr>
              <w:pStyle w:val="56"/>
              <w:jc w:val="both"/>
              <w:rPr>
                <w:color w:val="000000" w:themeColor="text1"/>
                <w:sz w:val="21"/>
                <w:szCs w:val="21"/>
                <w14:textFill>
                  <w14:solidFill>
                    <w14:schemeClr w14:val="tx1"/>
                  </w14:solidFill>
                </w14:textFill>
              </w:rPr>
            </w:pPr>
            <w:r>
              <w:rPr>
                <w:rFonts w:hint="eastAsia"/>
                <w:color w:val="auto"/>
                <w:sz w:val="21"/>
                <w:szCs w:val="21"/>
              </w:rPr>
              <w:t>西安绕城高速公路通行能力提升工程</w:t>
            </w:r>
            <w:r>
              <w:rPr>
                <w:rFonts w:hint="eastAsia"/>
                <w:color w:val="auto"/>
                <w:sz w:val="21"/>
                <w:szCs w:val="21"/>
                <w:lang w:eastAsia="zh-CN"/>
              </w:rPr>
              <w:t>桥梁</w:t>
            </w:r>
            <w:r>
              <w:rPr>
                <w:color w:val="auto"/>
                <w:sz w:val="21"/>
                <w:szCs w:val="21"/>
              </w:rPr>
              <w:t>路基建有导流沟槽</w:t>
            </w:r>
            <w:r>
              <w:rPr>
                <w:rFonts w:hint="eastAsia"/>
                <w:color w:val="auto"/>
                <w:sz w:val="21"/>
                <w:szCs w:val="21"/>
              </w:rPr>
              <w:t>及事故收集池</w:t>
            </w:r>
            <w:r>
              <w:rPr>
                <w:color w:val="auto"/>
                <w:sz w:val="21"/>
                <w:szCs w:val="21"/>
              </w:rPr>
              <w:t>。</w:t>
            </w:r>
            <w:r>
              <w:rPr>
                <w:rFonts w:hint="eastAsia"/>
                <w:color w:val="auto"/>
                <w:sz w:val="21"/>
                <w:szCs w:val="21"/>
                <w:lang w:eastAsia="zh-CN"/>
              </w:rPr>
              <w:t>立交</w:t>
            </w:r>
            <w:r>
              <w:rPr>
                <w:color w:val="auto"/>
                <w:sz w:val="21"/>
                <w:szCs w:val="21"/>
              </w:rPr>
              <w:t>两侧有防撞护栏。</w:t>
            </w:r>
            <w:r>
              <w:rPr>
                <w:rFonts w:hint="eastAsia"/>
                <w:color w:val="auto"/>
                <w:sz w:val="21"/>
                <w:szCs w:val="21"/>
              </w:rPr>
              <w:t>保护区范围有最高防撞等级的护栏-加强型的混凝土护栏SS级、路基两侧设置事故防范拦挡坝；</w:t>
            </w:r>
            <w:r>
              <w:rPr>
                <w:color w:val="auto"/>
                <w:sz w:val="21"/>
                <w:szCs w:val="21"/>
              </w:rPr>
              <w:t>均已建立并逐步完善各自的环境风险防控和应急措施制度，并组建环境应急组织机构，明确各应急小组责任人及其职责；建立了一系列安全管理制度。</w:t>
            </w:r>
            <w:r>
              <w:rPr>
                <w:color w:val="000000" w:themeColor="text1"/>
                <w:sz w:val="21"/>
                <w:szCs w:val="21"/>
                <w14:textFill>
                  <w14:solidFill>
                    <w14:schemeClr w14:val="tx1"/>
                  </w14:solidFill>
                </w14:textFill>
              </w:rPr>
              <w:t>采取相关措施加强对过路危险化学品运输车辆的安全管理，减少突发环境事件的发生概率，通过突发环境应急预案的编制及落实，提升应急处置能力。</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378" w:type="pct"/>
            <w:vMerge w:val="continue"/>
            <w:shd w:val="clear" w:color="auto" w:fill="auto"/>
            <w:vAlign w:val="center"/>
          </w:tcPr>
          <w:p>
            <w:pPr>
              <w:pStyle w:val="56"/>
              <w:rPr>
                <w:color w:val="000000" w:themeColor="text1"/>
                <w:sz w:val="21"/>
                <w:szCs w:val="21"/>
                <w14:textFill>
                  <w14:solidFill>
                    <w14:schemeClr w14:val="tx1"/>
                  </w14:solidFill>
                </w14:textFill>
              </w:rPr>
            </w:pPr>
          </w:p>
        </w:tc>
        <w:tc>
          <w:tcPr>
            <w:tcW w:w="413" w:type="pct"/>
            <w:vMerge w:val="continue"/>
            <w:shd w:val="clear" w:color="auto" w:fill="auto"/>
            <w:vAlign w:val="center"/>
          </w:tcPr>
          <w:p>
            <w:pPr>
              <w:pStyle w:val="56"/>
              <w:rPr>
                <w:color w:val="000000" w:themeColor="text1"/>
                <w:sz w:val="21"/>
                <w:szCs w:val="21"/>
                <w14:textFill>
                  <w14:solidFill>
                    <w14:schemeClr w14:val="tx1"/>
                  </w14:solidFill>
                </w14:textFill>
              </w:rPr>
            </w:pPr>
          </w:p>
        </w:tc>
        <w:tc>
          <w:tcPr>
            <w:tcW w:w="2151" w:type="pct"/>
            <w:shd w:val="clear" w:color="auto" w:fill="auto"/>
            <w:vAlign w:val="center"/>
          </w:tcPr>
          <w:p>
            <w:pPr>
              <w:pStyle w:val="56"/>
              <w:jc w:val="both"/>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涉及毒性气体的，是否设置毒性气体泄漏紧急处置装置，是否已布置生产区域或厂界毒性气体泄漏监控预警系统，是否有提醒周边公众紧急疏散的措施和手段等，分析每项措施的管理规定、岗位责任落实情况和措施的有效性。</w:t>
            </w:r>
          </w:p>
        </w:tc>
        <w:tc>
          <w:tcPr>
            <w:tcW w:w="2058" w:type="pct"/>
            <w:shd w:val="clear" w:color="auto" w:fill="auto"/>
            <w:vAlign w:val="center"/>
          </w:tcPr>
          <w:p>
            <w:pPr>
              <w:pStyle w:val="56"/>
              <w:jc w:val="both"/>
              <w:rPr>
                <w:color w:val="000000" w:themeColor="text1"/>
                <w:sz w:val="21"/>
                <w:szCs w:val="21"/>
                <w14:textFill>
                  <w14:solidFill>
                    <w14:schemeClr w14:val="tx1"/>
                  </w14:solidFill>
                </w14:textFill>
              </w:rPr>
            </w:pPr>
            <w:r>
              <w:rPr>
                <w:rFonts w:hint="eastAsia"/>
                <w:color w:val="000000" w:themeColor="text1"/>
                <w:sz w:val="21"/>
                <w:szCs w:val="21"/>
                <w14:textFill>
                  <w14:solidFill>
                    <w14:schemeClr w14:val="tx1"/>
                  </w14:solidFill>
                </w14:textFill>
              </w:rPr>
              <w:t>西安绕城高速公路通行能力提升工程</w:t>
            </w:r>
            <w:r>
              <w:rPr>
                <w:color w:val="000000" w:themeColor="text1"/>
                <w:sz w:val="21"/>
                <w:szCs w:val="21"/>
                <w14:textFill>
                  <w14:solidFill>
                    <w14:schemeClr w14:val="tx1"/>
                  </w14:solidFill>
                </w14:textFill>
              </w:rPr>
              <w:t>涉及</w:t>
            </w:r>
            <w:r>
              <w:rPr>
                <w:rFonts w:hint="eastAsia"/>
                <w:color w:val="000000" w:themeColor="text1"/>
                <w:sz w:val="21"/>
                <w:szCs w:val="21"/>
                <w:lang w:eastAsia="zh-CN"/>
                <w14:textFill>
                  <w14:solidFill>
                    <w14:schemeClr w14:val="tx1"/>
                  </w14:solidFill>
                </w14:textFill>
              </w:rPr>
              <w:t>石油</w:t>
            </w:r>
            <w:r>
              <w:rPr>
                <w:color w:val="000000" w:themeColor="text1"/>
                <w:sz w:val="21"/>
                <w:szCs w:val="21"/>
                <w14:textFill>
                  <w14:solidFill>
                    <w14:schemeClr w14:val="tx1"/>
                  </w14:solidFill>
                </w14:textFill>
              </w:rPr>
              <w:t>有毒气体运输。公路主线设有监控，对毒性气体泄漏有较强的监控能力。应急处置领导小组能够配合属地人民政府在发生毒性气体泄漏事故时，提醒周边公众紧急疏散。</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378" w:type="pct"/>
            <w:vMerge w:val="restar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w:t>
            </w:r>
          </w:p>
        </w:tc>
        <w:tc>
          <w:tcPr>
            <w:tcW w:w="413" w:type="pct"/>
            <w:vMerge w:val="restar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环境应急资源</w:t>
            </w:r>
          </w:p>
        </w:tc>
        <w:tc>
          <w:tcPr>
            <w:tcW w:w="2151"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是否配备必要的应急物资和应急装备（包括应急监测）</w:t>
            </w:r>
          </w:p>
        </w:tc>
        <w:tc>
          <w:tcPr>
            <w:tcW w:w="2058"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已配备部分必要的应急物资和应急装备（包括应急监测）</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7" w:hRule="atLeast"/>
          <w:jc w:val="center"/>
        </w:trPr>
        <w:tc>
          <w:tcPr>
            <w:tcW w:w="378" w:type="pct"/>
            <w:vMerge w:val="continue"/>
            <w:shd w:val="clear" w:color="auto" w:fill="auto"/>
            <w:vAlign w:val="center"/>
          </w:tcPr>
          <w:p>
            <w:pPr>
              <w:pStyle w:val="56"/>
              <w:rPr>
                <w:color w:val="000000" w:themeColor="text1"/>
                <w:sz w:val="21"/>
                <w:szCs w:val="21"/>
                <w14:textFill>
                  <w14:solidFill>
                    <w14:schemeClr w14:val="tx1"/>
                  </w14:solidFill>
                </w14:textFill>
              </w:rPr>
            </w:pPr>
          </w:p>
        </w:tc>
        <w:tc>
          <w:tcPr>
            <w:tcW w:w="413" w:type="pct"/>
            <w:vMerge w:val="continue"/>
            <w:shd w:val="clear" w:color="auto" w:fill="auto"/>
            <w:vAlign w:val="center"/>
          </w:tcPr>
          <w:p>
            <w:pPr>
              <w:pStyle w:val="56"/>
              <w:rPr>
                <w:color w:val="000000" w:themeColor="text1"/>
                <w:sz w:val="21"/>
                <w:szCs w:val="21"/>
                <w14:textFill>
                  <w14:solidFill>
                    <w14:schemeClr w14:val="tx1"/>
                  </w14:solidFill>
                </w14:textFill>
              </w:rPr>
            </w:pPr>
          </w:p>
        </w:tc>
        <w:tc>
          <w:tcPr>
            <w:tcW w:w="2151"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是否已设置专职或兼职人员组成的应急救援队伍</w:t>
            </w:r>
          </w:p>
        </w:tc>
        <w:tc>
          <w:tcPr>
            <w:tcW w:w="2058"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设有兼职的应急救援队伍，详见应急资源调查报告。</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378" w:type="pct"/>
            <w:vMerge w:val="continue"/>
            <w:shd w:val="clear" w:color="auto" w:fill="auto"/>
            <w:vAlign w:val="center"/>
          </w:tcPr>
          <w:p>
            <w:pPr>
              <w:pStyle w:val="56"/>
              <w:rPr>
                <w:color w:val="000000" w:themeColor="text1"/>
                <w:sz w:val="21"/>
                <w:szCs w:val="21"/>
                <w14:textFill>
                  <w14:solidFill>
                    <w14:schemeClr w14:val="tx1"/>
                  </w14:solidFill>
                </w14:textFill>
              </w:rPr>
            </w:pPr>
          </w:p>
        </w:tc>
        <w:tc>
          <w:tcPr>
            <w:tcW w:w="413" w:type="pct"/>
            <w:vMerge w:val="continue"/>
            <w:shd w:val="clear" w:color="auto" w:fill="auto"/>
            <w:vAlign w:val="center"/>
          </w:tcPr>
          <w:p>
            <w:pPr>
              <w:pStyle w:val="56"/>
              <w:rPr>
                <w:color w:val="000000" w:themeColor="text1"/>
                <w:sz w:val="21"/>
                <w:szCs w:val="21"/>
                <w14:textFill>
                  <w14:solidFill>
                    <w14:schemeClr w14:val="tx1"/>
                  </w14:solidFill>
                </w14:textFill>
              </w:rPr>
            </w:pPr>
          </w:p>
        </w:tc>
        <w:tc>
          <w:tcPr>
            <w:tcW w:w="2151"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是否与其他组织或单位签订应急救援协议或互救协议（包括应急物资、应急装备和救援队伍等情况）</w:t>
            </w:r>
          </w:p>
        </w:tc>
        <w:tc>
          <w:tcPr>
            <w:tcW w:w="2058"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将高速公路的应急救援纳入地方的救援体系，实现救援联动。</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378"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w:t>
            </w:r>
          </w:p>
        </w:tc>
        <w:tc>
          <w:tcPr>
            <w:tcW w:w="413"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历史经验教训总结</w:t>
            </w:r>
          </w:p>
        </w:tc>
        <w:tc>
          <w:tcPr>
            <w:tcW w:w="2151"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分析、总结历史上同类企业或涉及相同环境风险的企业发生突发环境事件的经验教训，对照检查本单位是否有防止类似事件发生的措施。</w:t>
            </w:r>
          </w:p>
        </w:tc>
        <w:tc>
          <w:tcPr>
            <w:tcW w:w="2058"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历史上同类企业典型事故见章节4.1.1，现有风险防控与应急资源情况见应急资源调查报告。</w:t>
            </w:r>
            <w:r>
              <w:rPr>
                <w:rFonts w:hint="eastAsia"/>
                <w:color w:val="000000" w:themeColor="text1"/>
                <w:sz w:val="21"/>
                <w:szCs w:val="21"/>
                <w:lang w:eastAsia="zh-CN"/>
                <w14:textFill>
                  <w14:solidFill>
                    <w14:schemeClr w14:val="tx1"/>
                  </w14:solidFill>
                </w14:textFill>
              </w:rPr>
              <w:t>西安绕城高速公路扩能提升工程</w:t>
            </w:r>
            <w:r>
              <w:rPr>
                <w:color w:val="000000" w:themeColor="text1"/>
                <w:sz w:val="21"/>
                <w:szCs w:val="21"/>
                <w14:textFill>
                  <w14:solidFill>
                    <w14:schemeClr w14:val="tx1"/>
                  </w14:solidFill>
                </w14:textFill>
              </w:rPr>
              <w:t>基本具备应急处置需要，公路运营至今，未发生过危化品运输事故。</w:t>
            </w:r>
          </w:p>
        </w:tc>
      </w:tr>
    </w:tbl>
    <w:p>
      <w:pPr>
        <w:widowControl/>
        <w:spacing w:beforeAutospacing="1" w:afterAutospacing="1"/>
        <w:ind w:firstLine="562"/>
        <w:jc w:val="left"/>
        <w:rPr>
          <w:b/>
          <w:bCs/>
          <w:color w:val="000000" w:themeColor="text1"/>
          <w:kern w:val="44"/>
          <w:szCs w:val="28"/>
          <w14:textFill>
            <w14:solidFill>
              <w14:schemeClr w14:val="tx1"/>
            </w14:solidFill>
          </w14:textFill>
        </w:rPr>
        <w:sectPr>
          <w:pgSz w:w="11906" w:h="16838"/>
          <w:pgMar w:top="1440" w:right="1797" w:bottom="1440" w:left="1797" w:header="851" w:footer="992" w:gutter="0"/>
          <w:cols w:space="720" w:num="1"/>
          <w:docGrid w:type="lines" w:linePitch="312" w:charSpace="0"/>
        </w:sectPr>
      </w:pPr>
    </w:p>
    <w:p>
      <w:pPr>
        <w:pStyle w:val="9"/>
        <w:rPr>
          <w:color w:val="000000" w:themeColor="text1"/>
          <w14:textFill>
            <w14:solidFill>
              <w14:schemeClr w14:val="tx1"/>
            </w14:solidFill>
          </w14:textFill>
        </w:rPr>
      </w:pPr>
      <w:bookmarkStart w:id="168" w:name="_Toc47541612"/>
      <w:bookmarkEnd w:id="168"/>
      <w:bookmarkStart w:id="169" w:name="_Toc461992076"/>
      <w:bookmarkEnd w:id="169"/>
      <w:bookmarkStart w:id="170" w:name="_Toc397615835"/>
      <w:bookmarkEnd w:id="170"/>
      <w:bookmarkStart w:id="171" w:name="_Toc69739755"/>
      <w:bookmarkStart w:id="172" w:name="_Toc456279533"/>
      <w:bookmarkStart w:id="173" w:name="_Toc80973317"/>
      <w:r>
        <w:rPr>
          <w:color w:val="000000" w:themeColor="text1"/>
          <w14:textFill>
            <w14:solidFill>
              <w14:schemeClr w14:val="tx1"/>
            </w14:solidFill>
          </w14:textFill>
        </w:rPr>
        <w:t>6 完善环境风险防控和应急措施的实施计划</w:t>
      </w:r>
      <w:bookmarkEnd w:id="171"/>
      <w:bookmarkEnd w:id="172"/>
      <w:bookmarkEnd w:id="173"/>
    </w:p>
    <w:p>
      <w:pPr>
        <w:ind w:firstLine="560"/>
        <w:rPr>
          <w:color w:val="000000" w:themeColor="text1"/>
          <w14:textFill>
            <w14:solidFill>
              <w14:schemeClr w14:val="tx1"/>
            </w14:solidFill>
          </w14:textFill>
        </w:rPr>
      </w:pPr>
      <w:r>
        <w:rPr>
          <w:rFonts w:hint="eastAsia"/>
          <w:color w:val="000000" w:themeColor="text1"/>
          <w14:textFill>
            <w14:solidFill>
              <w14:schemeClr w14:val="tx1"/>
            </w14:solidFill>
          </w14:textFill>
        </w:rPr>
        <w:t>分析、总结历史上同类型或涉及相同环境风险物质的企业单位发生突发环境事件的经验教训，对照检查公司在防止类似事件发生时所采取的环境风险源防控和应急措施及环境应急资源情况。</w:t>
      </w:r>
      <w:r>
        <w:rPr>
          <w:color w:val="000000" w:themeColor="text1"/>
          <w14:textFill>
            <w14:solidFill>
              <w14:schemeClr w14:val="tx1"/>
            </w14:solidFill>
          </w14:textFill>
        </w:rPr>
        <w:t>企业已经采取了一系列的措施来应对突发环境污染事件，但是就目前已落实的措施而言，还有部分不足之处：</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企业目前已经建设应急队伍，但是应急队伍的培训和演练工作开展较少，不利于突发环境污染事件的快速有效处理。因此，企业应加强对应急队伍成员及其他员工的培训，同时积极开展应急演练工作，通过演练积累经验，提高对突发环境污染事件的应急处置能力。</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（2）围油栏、吸油毡等危化品泄漏控制和收集的相关应急物资</w:t>
      </w:r>
      <w:r>
        <w:rPr>
          <w:rFonts w:hint="eastAsia"/>
          <w:color w:val="000000" w:themeColor="text1"/>
          <w14:textFill>
            <w14:solidFill>
              <w14:schemeClr w14:val="tx1"/>
            </w14:solidFill>
          </w14:textFill>
        </w:rPr>
        <w:t>无储备</w:t>
      </w:r>
      <w:r>
        <w:rPr>
          <w:color w:val="000000" w:themeColor="text1"/>
          <w14:textFill>
            <w14:solidFill>
              <w14:schemeClr w14:val="tx1"/>
            </w14:solidFill>
          </w14:textFill>
        </w:rPr>
        <w:t>，</w:t>
      </w:r>
      <w:r>
        <w:rPr>
          <w:rFonts w:hint="eastAsia"/>
          <w:color w:val="000000" w:themeColor="text1"/>
          <w14:textFill>
            <w14:solidFill>
              <w14:schemeClr w14:val="tx1"/>
            </w14:solidFill>
          </w14:textFill>
        </w:rPr>
        <w:t>需</w:t>
      </w:r>
      <w:r>
        <w:rPr>
          <w:color w:val="000000" w:themeColor="text1"/>
          <w14:textFill>
            <w14:solidFill>
              <w14:schemeClr w14:val="tx1"/>
            </w14:solidFill>
          </w14:textFill>
        </w:rPr>
        <w:t>尽快补充。准备充足的应急物资并对物资进行定期保养维护，保证装备处于良好的使用状态，对过期或无法正常运行的物资进行更换。</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（3）对</w:t>
      </w:r>
      <w:r>
        <w:rPr>
          <w:rFonts w:hint="eastAsia"/>
          <w:color w:val="000000" w:themeColor="text1"/>
          <w:lang w:eastAsia="zh-CN"/>
          <w14:textFill>
            <w14:solidFill>
              <w14:schemeClr w14:val="tx1"/>
            </w14:solidFill>
          </w14:textFill>
        </w:rPr>
        <w:t>陕西交通控股集团绕城高速公路扩能工程管理处</w:t>
      </w:r>
      <w:r>
        <w:rPr>
          <w:color w:val="000000" w:themeColor="text1"/>
          <w14:textFill>
            <w14:solidFill>
              <w14:schemeClr w14:val="tx1"/>
            </w14:solidFill>
          </w14:textFill>
        </w:rPr>
        <w:t>来说，一旦公路上发生突发环境事件，单靠自身力量是不能完善解决的。企业应加强和当地政府的联络，一旦发生事故可以与当地政府快速联络，共同应对突发环境事件，如若应急物资准备不充分，可以调用当地政府应急储备物资使用。</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为更好完善本项目的环境风险防控水平，提高环境预警和环境应急能力，本评估逐项制定加强环境风险防控措施和应急管理的目标、完成时限，列出项目的环境风险防控措施实施计划，包括环境风险管理制度、环境应急能力建设等方面。企业针对需要整改的短期、中期和长期项目，具体落实到各责任人，具体完成时间见下表6-1。</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本公司须在规定时限内完成各计划，切实提高环境风险防控能力。每完成一次实施计划，都应将计划完成情况登记建档备查。</w:t>
      </w:r>
    </w:p>
    <w:p>
      <w:pP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br w:type="page"/>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表6-1  环境风险防控和应急措施的实施计划</w:t>
      </w:r>
    </w:p>
    <w:tbl>
      <w:tblPr>
        <w:tblStyle w:val="22"/>
        <w:tblW w:w="852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17"/>
        <w:gridCol w:w="2410"/>
        <w:gridCol w:w="4418"/>
        <w:gridCol w:w="87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jc w:val="center"/>
        </w:trPr>
        <w:tc>
          <w:tcPr>
            <w:tcW w:w="817"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整改期限</w:t>
            </w:r>
          </w:p>
        </w:tc>
        <w:tc>
          <w:tcPr>
            <w:tcW w:w="2410"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需要整改的项目内容</w:t>
            </w:r>
          </w:p>
        </w:tc>
        <w:tc>
          <w:tcPr>
            <w:tcW w:w="4418"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整改实施计划</w:t>
            </w:r>
          </w:p>
        </w:tc>
        <w:tc>
          <w:tcPr>
            <w:tcW w:w="877"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整改期限</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817"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近期</w:t>
            </w:r>
          </w:p>
        </w:tc>
        <w:tc>
          <w:tcPr>
            <w:tcW w:w="2410"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应急物资不完善</w:t>
            </w:r>
          </w:p>
        </w:tc>
        <w:tc>
          <w:tcPr>
            <w:tcW w:w="4418" w:type="dxa"/>
            <w:vAlign w:val="center"/>
          </w:tcPr>
          <w:p>
            <w:pPr>
              <w:pStyle w:val="56"/>
              <w:rPr>
                <w:b/>
                <w:bCs/>
                <w:color w:val="000000" w:themeColor="text1"/>
                <w:sz w:val="21"/>
                <w:szCs w:val="21"/>
                <w14:textFill>
                  <w14:solidFill>
                    <w14:schemeClr w14:val="tx1"/>
                  </w14:solidFill>
                </w14:textFill>
              </w:rPr>
            </w:pPr>
            <w:r>
              <w:rPr>
                <w:bCs/>
                <w:color w:val="000000" w:themeColor="text1"/>
                <w:sz w:val="21"/>
                <w:szCs w:val="21"/>
                <w14:textFill>
                  <w14:solidFill>
                    <w14:schemeClr w14:val="tx1"/>
                  </w14:solidFill>
                </w14:textFill>
              </w:rPr>
              <w:t>补充围油栏、吸油毡等危化品泄漏控制和收集的相关应急物资</w:t>
            </w:r>
          </w:p>
        </w:tc>
        <w:tc>
          <w:tcPr>
            <w:tcW w:w="877"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3个月内</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54" w:hRule="atLeast"/>
          <w:jc w:val="center"/>
        </w:trPr>
        <w:tc>
          <w:tcPr>
            <w:tcW w:w="817" w:type="dxa"/>
            <w:vMerge w:val="restart"/>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远期</w:t>
            </w:r>
          </w:p>
        </w:tc>
        <w:tc>
          <w:tcPr>
            <w:tcW w:w="2410"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环境应急培训和演练</w:t>
            </w:r>
          </w:p>
        </w:tc>
        <w:tc>
          <w:tcPr>
            <w:tcW w:w="4418"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对职工开展环境风险和环境应急管理的培训常态化，并形成培训记录。</w:t>
            </w:r>
          </w:p>
        </w:tc>
        <w:tc>
          <w:tcPr>
            <w:tcW w:w="877"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长期坚持落实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54" w:hRule="atLeast"/>
          <w:jc w:val="center"/>
        </w:trPr>
        <w:tc>
          <w:tcPr>
            <w:tcW w:w="817" w:type="dxa"/>
            <w:vMerge w:val="continue"/>
            <w:vAlign w:val="center"/>
          </w:tcPr>
          <w:p>
            <w:pPr>
              <w:pStyle w:val="56"/>
              <w:rPr>
                <w:color w:val="000000" w:themeColor="text1"/>
                <w:sz w:val="21"/>
                <w:szCs w:val="21"/>
                <w14:textFill>
                  <w14:solidFill>
                    <w14:schemeClr w14:val="tx1"/>
                  </w14:solidFill>
                </w14:textFill>
              </w:rPr>
            </w:pPr>
          </w:p>
        </w:tc>
        <w:tc>
          <w:tcPr>
            <w:tcW w:w="2410"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各环保相关设施、应急设施和措施、应急队伍、管理制度等均实践检验不足</w:t>
            </w:r>
          </w:p>
        </w:tc>
        <w:tc>
          <w:tcPr>
            <w:tcW w:w="4418"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在尽快完成竣工环保验收工作的同时，加强和完善制度建设，按计划开展环境应急演练，并针对不同的突发环境事件情景，针对性的开展演练。</w:t>
            </w:r>
          </w:p>
        </w:tc>
        <w:tc>
          <w:tcPr>
            <w:tcW w:w="877"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长期坚持落实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54" w:hRule="atLeast"/>
          <w:jc w:val="center"/>
        </w:trPr>
        <w:tc>
          <w:tcPr>
            <w:tcW w:w="817" w:type="dxa"/>
            <w:vMerge w:val="continue"/>
            <w:vAlign w:val="center"/>
          </w:tcPr>
          <w:p>
            <w:pPr>
              <w:pStyle w:val="56"/>
              <w:rPr>
                <w:color w:val="000000" w:themeColor="text1"/>
                <w:sz w:val="21"/>
                <w:szCs w:val="21"/>
                <w14:textFill>
                  <w14:solidFill>
                    <w14:schemeClr w14:val="tx1"/>
                  </w14:solidFill>
                </w14:textFill>
              </w:rPr>
            </w:pPr>
          </w:p>
        </w:tc>
        <w:tc>
          <w:tcPr>
            <w:tcW w:w="2410"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环境应急资源配备有待进一步完善。</w:t>
            </w:r>
          </w:p>
        </w:tc>
        <w:tc>
          <w:tcPr>
            <w:tcW w:w="4418"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定期检查应急物资情况，及时更新并</w:t>
            </w:r>
            <w:r>
              <w:rPr>
                <w:rFonts w:hint="eastAsia"/>
                <w:color w:val="000000" w:themeColor="text1"/>
                <w:sz w:val="21"/>
                <w:szCs w:val="21"/>
                <w14:textFill>
                  <w14:solidFill>
                    <w14:schemeClr w14:val="tx1"/>
                  </w14:solidFill>
                </w14:textFill>
              </w:rPr>
              <w:t>对</w:t>
            </w:r>
            <w:r>
              <w:rPr>
                <w:color w:val="000000" w:themeColor="text1"/>
                <w:sz w:val="21"/>
                <w:szCs w:val="21"/>
                <w14:textFill>
                  <w14:solidFill>
                    <w14:schemeClr w14:val="tx1"/>
                  </w14:solidFill>
                </w14:textFill>
              </w:rPr>
              <w:t>环境应急物资</w:t>
            </w:r>
            <w:r>
              <w:rPr>
                <w:rFonts w:hint="eastAsia"/>
                <w:color w:val="000000" w:themeColor="text1"/>
                <w:sz w:val="21"/>
                <w:szCs w:val="21"/>
                <w14:textFill>
                  <w14:solidFill>
                    <w14:schemeClr w14:val="tx1"/>
                  </w14:solidFill>
                </w14:textFill>
              </w:rPr>
              <w:t>进行保养</w:t>
            </w:r>
            <w:r>
              <w:rPr>
                <w:color w:val="000000" w:themeColor="text1"/>
                <w:sz w:val="21"/>
                <w:szCs w:val="21"/>
                <w14:textFill>
                  <w14:solidFill>
                    <w14:schemeClr w14:val="tx1"/>
                  </w14:solidFill>
                </w14:textFill>
              </w:rPr>
              <w:t>，确保应急物资数量充足，且需保证应急物资的可用性。与相应环境应急监测机构取得联系，并组织建立环境应急专家库。</w:t>
            </w:r>
          </w:p>
        </w:tc>
        <w:tc>
          <w:tcPr>
            <w:tcW w:w="877"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长期落实</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54" w:hRule="atLeast"/>
          <w:jc w:val="center"/>
        </w:trPr>
        <w:tc>
          <w:tcPr>
            <w:tcW w:w="817" w:type="dxa"/>
            <w:vMerge w:val="continue"/>
            <w:vAlign w:val="center"/>
          </w:tcPr>
          <w:p>
            <w:pPr>
              <w:pStyle w:val="56"/>
              <w:rPr>
                <w:color w:val="000000" w:themeColor="text1"/>
                <w:sz w:val="21"/>
                <w:szCs w:val="21"/>
                <w14:textFill>
                  <w14:solidFill>
                    <w14:schemeClr w14:val="tx1"/>
                  </w14:solidFill>
                </w14:textFill>
              </w:rPr>
            </w:pPr>
          </w:p>
        </w:tc>
        <w:tc>
          <w:tcPr>
            <w:tcW w:w="2410"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应按相关规定及时修订应急预案，并重新备案。</w:t>
            </w:r>
          </w:p>
        </w:tc>
        <w:tc>
          <w:tcPr>
            <w:tcW w:w="4418"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根据实际，及时修编突发环境事件应急预案，并重新评审、备案。</w:t>
            </w:r>
          </w:p>
        </w:tc>
        <w:tc>
          <w:tcPr>
            <w:tcW w:w="877" w:type="dxa"/>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长期落实</w:t>
            </w:r>
          </w:p>
        </w:tc>
      </w:tr>
    </w:tbl>
    <w:p>
      <w:pPr>
        <w:ind w:firstLine="560"/>
        <w:rPr>
          <w:color w:val="000000" w:themeColor="text1"/>
          <w14:textFill>
            <w14:solidFill>
              <w14:schemeClr w14:val="tx1"/>
            </w14:solidFill>
          </w14:textFill>
        </w:rPr>
      </w:pPr>
      <w:bookmarkStart w:id="174" w:name="_Toc47541613"/>
      <w:bookmarkEnd w:id="174"/>
      <w:bookmarkStart w:id="175" w:name="_Toc69739756"/>
      <w:r>
        <w:rPr>
          <w:color w:val="000000" w:themeColor="text1"/>
          <w14:textFill>
            <w14:solidFill>
              <w14:schemeClr w14:val="tx1"/>
            </w14:solidFill>
          </w14:textFill>
        </w:rPr>
        <w:br w:type="page"/>
      </w:r>
    </w:p>
    <w:p>
      <w:pPr>
        <w:pStyle w:val="9"/>
        <w:rPr>
          <w:color w:val="000000" w:themeColor="text1"/>
          <w14:textFill>
            <w14:solidFill>
              <w14:schemeClr w14:val="tx1"/>
            </w14:solidFill>
          </w14:textFill>
        </w:rPr>
      </w:pPr>
      <w:bookmarkStart w:id="176" w:name="_Toc80973318"/>
      <w:r>
        <w:rPr>
          <w:color w:val="000000" w:themeColor="text1"/>
          <w14:textFill>
            <w14:solidFill>
              <w14:schemeClr w14:val="tx1"/>
            </w14:solidFill>
          </w14:textFill>
        </w:rPr>
        <w:t>7 企业突发环境事件风险等级</w:t>
      </w:r>
      <w:bookmarkEnd w:id="175"/>
      <w:bookmarkEnd w:id="176"/>
    </w:p>
    <w:p>
      <w:pPr>
        <w:pStyle w:val="10"/>
        <w:ind w:firstLine="321"/>
        <w:rPr>
          <w:color w:val="000000" w:themeColor="text1"/>
          <w14:textFill>
            <w14:solidFill>
              <w14:schemeClr w14:val="tx1"/>
            </w14:solidFill>
          </w14:textFill>
        </w:rPr>
      </w:pPr>
      <w:bookmarkStart w:id="177" w:name="_Toc47541614"/>
      <w:bookmarkEnd w:id="177"/>
      <w:bookmarkStart w:id="178" w:name="_Toc69739757"/>
      <w:bookmarkStart w:id="179" w:name="_Toc80973319"/>
      <w:r>
        <w:rPr>
          <w:color w:val="000000" w:themeColor="text1"/>
          <w14:textFill>
            <w14:solidFill>
              <w14:schemeClr w14:val="tx1"/>
            </w14:solidFill>
          </w14:textFill>
        </w:rPr>
        <w:t>7.1 环境风险等级评价流程</w:t>
      </w:r>
      <w:bookmarkEnd w:id="178"/>
      <w:bookmarkEnd w:id="179"/>
    </w:p>
    <w:p>
      <w:pPr>
        <w:ind w:firstLine="560"/>
        <w:rPr>
          <w:color w:val="000000" w:themeColor="text1"/>
          <w14:textFill>
            <w14:solidFill>
              <w14:schemeClr w14:val="tx1"/>
            </w14:solidFill>
          </w14:textFill>
        </w:rPr>
      </w:pPr>
      <w:r>
        <w:rPr>
          <w:color w:val="000000" w:themeColor="text1"/>
          <w14:textFill>
            <w14:solidFill>
              <w14:schemeClr w14:val="tx1"/>
            </w14:solidFill>
          </w14:textFill>
        </w:rPr>
        <w:t>根据《企业突发环境事件风险分级办法》（HJ941-2018）中的评定方法对</w:t>
      </w:r>
      <w:r>
        <w:rPr>
          <w:rFonts w:hint="eastAsia"/>
          <w:color w:val="000000" w:themeColor="text1"/>
          <w:lang w:eastAsia="zh-CN"/>
          <w14:textFill>
            <w14:solidFill>
              <w14:schemeClr w14:val="tx1"/>
            </w14:solidFill>
          </w14:textFill>
        </w:rPr>
        <w:t>西安绕城高速公路扩能提升工程</w:t>
      </w:r>
      <w:r>
        <w:rPr>
          <w:color w:val="000000" w:themeColor="text1"/>
          <w14:textFill>
            <w14:solidFill>
              <w14:schemeClr w14:val="tx1"/>
            </w14:solidFill>
          </w14:textFill>
        </w:rPr>
        <w:t>可能发生突发环境事件的环境风险等级进行评估。</w:t>
      </w:r>
    </w:p>
    <w:p>
      <w:pPr>
        <w:ind w:firstLine="560"/>
        <w:rPr>
          <w:rFonts w:hint="eastAsia" w:eastAsia="仿宋"/>
          <w:color w:val="000000" w:themeColor="text1"/>
          <w:lang w:eastAsia="zh-CN"/>
          <w14:textFill>
            <w14:solidFill>
              <w14:schemeClr w14:val="tx1"/>
            </w14:solidFill>
          </w14:textFill>
        </w:rPr>
      </w:pPr>
      <w:r>
        <w:rPr>
          <w:color w:val="000000" w:themeColor="text1"/>
          <w14:textFill>
            <w14:solidFill>
              <w14:schemeClr w14:val="tx1"/>
            </w14:solidFill>
          </w14:textFill>
        </w:rPr>
        <w:t>环境风险等级评估的流程详见图7-1</w:t>
      </w:r>
      <w:r>
        <w:rPr>
          <w:rFonts w:hint="eastAsia"/>
          <w:color w:val="000000" w:themeColor="text1"/>
          <w:lang w:eastAsia="zh-CN"/>
          <w14:textFill>
            <w14:solidFill>
              <w14:schemeClr w14:val="tx1"/>
            </w14:solidFill>
          </w14:textFill>
        </w:rPr>
        <w:t>。</w:t>
      </w:r>
    </w:p>
    <w:p>
      <w:pPr>
        <w:ind w:firstLine="560"/>
        <w:jc w:val="center"/>
        <w:rPr>
          <w:color w:val="000000" w:themeColor="text1"/>
          <w:szCs w:val="28"/>
          <w14:textFill>
            <w14:solidFill>
              <w14:schemeClr w14:val="tx1"/>
            </w14:solidFill>
          </w14:textFill>
        </w:rPr>
      </w:pPr>
      <w:r>
        <w:rPr>
          <w:color w:val="000000" w:themeColor="text1"/>
          <w14:textFill>
            <w14:solidFill>
              <w14:schemeClr w14:val="tx1"/>
            </w14:solidFill>
          </w14:textFill>
        </w:rPr>
        <w:drawing>
          <wp:inline distT="0" distB="0" distL="0" distR="0">
            <wp:extent cx="4772025" cy="367665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772025" cy="3676650"/>
                    </a:xfrm>
                    <a:prstGeom prst="rect">
                      <a:avLst/>
                    </a:prstGeom>
                    <a:noFill/>
                    <a:ln>
                      <a:noFill/>
                    </a:ln>
                  </pic:spPr>
                </pic:pic>
              </a:graphicData>
            </a:graphic>
          </wp:inline>
        </w:drawing>
      </w:r>
      <w:r>
        <w:rPr>
          <w:color w:val="000000" w:themeColor="text1"/>
          <w:szCs w:val="28"/>
          <w14:textFill>
            <w14:solidFill>
              <w14:schemeClr w14:val="tx1"/>
            </w14:solidFill>
          </w14:textFill>
        </w:rPr>
        <w:t xml:space="preserve"> </w:t>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图7-1  环境风险等级划分流程示意图</w:t>
      </w:r>
    </w:p>
    <w:p>
      <w:pPr>
        <w:pStyle w:val="10"/>
        <w:ind w:firstLine="321"/>
        <w:rPr>
          <w:color w:val="000000" w:themeColor="text1"/>
          <w14:textFill>
            <w14:solidFill>
              <w14:schemeClr w14:val="tx1"/>
            </w14:solidFill>
          </w14:textFill>
        </w:rPr>
      </w:pPr>
      <w:bookmarkStart w:id="180" w:name="_Toc47541615"/>
      <w:bookmarkEnd w:id="180"/>
      <w:bookmarkStart w:id="181" w:name="_Toc69739758"/>
      <w:bookmarkStart w:id="182" w:name="_Toc80973320"/>
      <w:r>
        <w:rPr>
          <w:color w:val="000000" w:themeColor="text1"/>
          <w14:textFill>
            <w14:solidFill>
              <w14:schemeClr w14:val="tx1"/>
            </w14:solidFill>
          </w14:textFill>
        </w:rPr>
        <w:t>7.2 突发大气环境事件风险分级</w:t>
      </w:r>
      <w:bookmarkEnd w:id="181"/>
      <w:bookmarkEnd w:id="182"/>
    </w:p>
    <w:p>
      <w:pPr>
        <w:pStyle w:val="11"/>
        <w:ind w:firstLine="562"/>
        <w:rPr>
          <w:rFonts w:eastAsia="仿宋"/>
          <w:color w:val="000000" w:themeColor="text1"/>
          <w14:textFill>
            <w14:solidFill>
              <w14:schemeClr w14:val="tx1"/>
            </w14:solidFill>
          </w14:textFill>
        </w:rPr>
      </w:pPr>
      <w:bookmarkStart w:id="183" w:name="_Toc69739759"/>
      <w:r>
        <w:rPr>
          <w:rFonts w:eastAsia="仿宋"/>
          <w:color w:val="000000" w:themeColor="text1"/>
          <w14:textFill>
            <w14:solidFill>
              <w14:schemeClr w14:val="tx1"/>
            </w14:solidFill>
          </w14:textFill>
        </w:rPr>
        <w:t>7.2.1 涉气风险物质数量与临界量比值</w:t>
      </w:r>
      <w:bookmarkEnd w:id="183"/>
    </w:p>
    <w:p>
      <w:pPr>
        <w:ind w:firstLine="560"/>
        <w:rPr>
          <w:color w:val="000000" w:themeColor="text1"/>
          <w14:textFill>
            <w14:solidFill>
              <w14:schemeClr w14:val="tx1"/>
            </w14:solidFill>
          </w14:textFill>
        </w:rPr>
      </w:pPr>
      <w:r>
        <w:rPr>
          <w:color w:val="000000" w:themeColor="text1"/>
          <w14:textFill>
            <w14:solidFill>
              <w14:schemeClr w14:val="tx1"/>
            </w14:solidFill>
          </w14:textFill>
        </w:rPr>
        <w:t>判断企业生产原料、产品、中间产品、副产品、催化剂、辅助生产物料、燃料、“三废”污染物等是否涉及大气环境风险物质（混合或稀释的风险物质按其组分比例折算成纯物质），计算涉气风险物质在厂界内的存在量（如存在量呈动态变化，则按年度内最大存在量计算）与其临界量的比值Q：</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（1）当企业只涉及一种风险物质时，该物质的数量与其临界量比值，即为Q。</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（2）当企业存在多种风险物质时，则按下式计算：</w:t>
      </w:r>
    </w:p>
    <w:p>
      <w:pPr>
        <w:ind w:firstLine="560"/>
        <w:jc w:val="center"/>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Q=</m:t>
          </m:r>
          <m:f>
            <m:fPr>
              <m:ctrlPr>
                <w:rPr>
                  <w:rFonts w:ascii="Cambria Math" w:hAnsi="Cambria Math"/>
                  <w:i/>
                  <w:color w:val="000000" w:themeColor="text1"/>
                  <w:szCs w:val="22"/>
                  <w14:textFill>
                    <w14:solidFill>
                      <w14:schemeClr w14:val="tx1"/>
                    </w14:solidFill>
                  </w14:textFill>
                </w:rPr>
              </m:ctrlPr>
            </m:fPr>
            <m:num>
              <m:sSub>
                <m:sSubPr>
                  <m:ctrlPr>
                    <w:rPr>
                      <w:rFonts w:ascii="Cambria Math" w:hAnsi="Cambria Math"/>
                      <w:i/>
                      <w:color w:val="000000" w:themeColor="text1"/>
                      <w:szCs w:val="22"/>
                      <w14:textFill>
                        <w14:solidFill>
                          <w14:schemeClr w14:val="tx1"/>
                        </w14:solidFill>
                      </w14:textFill>
                    </w:rPr>
                  </m:ctrlPr>
                </m:sSubPr>
                <m:e>
                  <m:r>
                    <m:rPr/>
                    <w:rPr>
                      <w:rFonts w:ascii="Cambria Math" w:hAnsi="Cambria Math"/>
                      <w:color w:val="000000" w:themeColor="text1"/>
                      <w14:textFill>
                        <w14:solidFill>
                          <w14:schemeClr w14:val="tx1"/>
                        </w14:solidFill>
                      </w14:textFill>
                    </w:rPr>
                    <m:t>q</m:t>
                  </m:r>
                  <m:ctrlPr>
                    <w:rPr>
                      <w:rFonts w:ascii="Cambria Math" w:hAnsi="Cambria Math"/>
                      <w:i/>
                      <w:color w:val="000000" w:themeColor="text1"/>
                      <w:szCs w:val="22"/>
                      <w14:textFill>
                        <w14:solidFill>
                          <w14:schemeClr w14:val="tx1"/>
                        </w14:solidFill>
                      </w14:textFill>
                    </w:rPr>
                  </m:ctrlPr>
                </m:e>
                <m:sub>
                  <m:r>
                    <m:rPr/>
                    <w:rPr>
                      <w:rFonts w:ascii="Cambria Math" w:hAnsi="Cambria Math"/>
                      <w:color w:val="000000" w:themeColor="text1"/>
                      <w14:textFill>
                        <w14:solidFill>
                          <w14:schemeClr w14:val="tx1"/>
                        </w14:solidFill>
                      </w14:textFill>
                    </w:rPr>
                    <m:t>1</m:t>
                  </m:r>
                  <m:ctrlPr>
                    <w:rPr>
                      <w:rFonts w:ascii="Cambria Math" w:hAnsi="Cambria Math"/>
                      <w:i/>
                      <w:color w:val="000000" w:themeColor="text1"/>
                      <w:szCs w:val="22"/>
                      <w14:textFill>
                        <w14:solidFill>
                          <w14:schemeClr w14:val="tx1"/>
                        </w14:solidFill>
                      </w14:textFill>
                    </w:rPr>
                  </m:ctrlPr>
                </m:sub>
              </m:sSub>
              <m:ctrlPr>
                <w:rPr>
                  <w:rFonts w:ascii="Cambria Math" w:hAnsi="Cambria Math"/>
                  <w:i/>
                  <w:color w:val="000000" w:themeColor="text1"/>
                  <w:szCs w:val="22"/>
                  <w14:textFill>
                    <w14:solidFill>
                      <w14:schemeClr w14:val="tx1"/>
                    </w14:solidFill>
                  </w14:textFill>
                </w:rPr>
              </m:ctrlPr>
            </m:num>
            <m:den>
              <m:sSub>
                <m:sSubPr>
                  <m:ctrlPr>
                    <w:rPr>
                      <w:rFonts w:ascii="Cambria Math" w:hAnsi="Cambria Math"/>
                      <w:i/>
                      <w:color w:val="000000" w:themeColor="text1"/>
                      <w:szCs w:val="22"/>
                      <w14:textFill>
                        <w14:solidFill>
                          <w14:schemeClr w14:val="tx1"/>
                        </w14:solidFill>
                      </w14:textFill>
                    </w:rPr>
                  </m:ctrlPr>
                </m:sSubPr>
                <m:e>
                  <m:r>
                    <m:rPr/>
                    <w:rPr>
                      <w:rFonts w:ascii="Cambria Math" w:hAnsi="Cambria Math"/>
                      <w:color w:val="000000" w:themeColor="text1"/>
                      <w14:textFill>
                        <w14:solidFill>
                          <w14:schemeClr w14:val="tx1"/>
                        </w14:solidFill>
                      </w14:textFill>
                    </w:rPr>
                    <m:t>Q</m:t>
                  </m:r>
                  <m:ctrlPr>
                    <w:rPr>
                      <w:rFonts w:ascii="Cambria Math" w:hAnsi="Cambria Math"/>
                      <w:i/>
                      <w:color w:val="000000" w:themeColor="text1"/>
                      <w:szCs w:val="22"/>
                      <w14:textFill>
                        <w14:solidFill>
                          <w14:schemeClr w14:val="tx1"/>
                        </w14:solidFill>
                      </w14:textFill>
                    </w:rPr>
                  </m:ctrlPr>
                </m:e>
                <m:sub>
                  <m:r>
                    <m:rPr/>
                    <w:rPr>
                      <w:rFonts w:ascii="Cambria Math" w:hAnsi="Cambria Math"/>
                      <w:color w:val="000000" w:themeColor="text1"/>
                      <w14:textFill>
                        <w14:solidFill>
                          <w14:schemeClr w14:val="tx1"/>
                        </w14:solidFill>
                      </w14:textFill>
                    </w:rPr>
                    <m:t>1</m:t>
                  </m:r>
                  <m:ctrlPr>
                    <w:rPr>
                      <w:rFonts w:ascii="Cambria Math" w:hAnsi="Cambria Math"/>
                      <w:i/>
                      <w:color w:val="000000" w:themeColor="text1"/>
                      <w:szCs w:val="22"/>
                      <w14:textFill>
                        <w14:solidFill>
                          <w14:schemeClr w14:val="tx1"/>
                        </w14:solidFill>
                      </w14:textFill>
                    </w:rPr>
                  </m:ctrlPr>
                </m:sub>
              </m:sSub>
              <m:ctrlPr>
                <w:rPr>
                  <w:rFonts w:ascii="Cambria Math" w:hAnsi="Cambria Math"/>
                  <w:i/>
                  <w:color w:val="000000" w:themeColor="text1"/>
                  <w:szCs w:val="22"/>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szCs w:val="22"/>
                  <w14:textFill>
                    <w14:solidFill>
                      <w14:schemeClr w14:val="tx1"/>
                    </w14:solidFill>
                  </w14:textFill>
                </w:rPr>
              </m:ctrlPr>
            </m:fPr>
            <m:num>
              <m:sSub>
                <m:sSubPr>
                  <m:ctrlPr>
                    <w:rPr>
                      <w:rFonts w:ascii="Cambria Math" w:hAnsi="Cambria Math"/>
                      <w:i/>
                      <w:color w:val="000000" w:themeColor="text1"/>
                      <w:szCs w:val="22"/>
                      <w14:textFill>
                        <w14:solidFill>
                          <w14:schemeClr w14:val="tx1"/>
                        </w14:solidFill>
                      </w14:textFill>
                    </w:rPr>
                  </m:ctrlPr>
                </m:sSubPr>
                <m:e>
                  <m:r>
                    <m:rPr/>
                    <w:rPr>
                      <w:rFonts w:ascii="Cambria Math" w:hAnsi="Cambria Math"/>
                      <w:color w:val="000000" w:themeColor="text1"/>
                      <w14:textFill>
                        <w14:solidFill>
                          <w14:schemeClr w14:val="tx1"/>
                        </w14:solidFill>
                      </w14:textFill>
                    </w:rPr>
                    <m:t>q</m:t>
                  </m:r>
                  <m:ctrlPr>
                    <w:rPr>
                      <w:rFonts w:ascii="Cambria Math" w:hAnsi="Cambria Math"/>
                      <w:i/>
                      <w:color w:val="000000" w:themeColor="text1"/>
                      <w:szCs w:val="22"/>
                      <w14:textFill>
                        <w14:solidFill>
                          <w14:schemeClr w14:val="tx1"/>
                        </w14:solidFill>
                      </w14:textFill>
                    </w:rPr>
                  </m:ctrlPr>
                </m:e>
                <m:sub>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szCs w:val="22"/>
                      <w14:textFill>
                        <w14:solidFill>
                          <w14:schemeClr w14:val="tx1"/>
                        </w14:solidFill>
                      </w14:textFill>
                    </w:rPr>
                  </m:ctrlPr>
                </m:sub>
              </m:sSub>
              <m:ctrlPr>
                <w:rPr>
                  <w:rFonts w:ascii="Cambria Math" w:hAnsi="Cambria Math"/>
                  <w:i/>
                  <w:color w:val="000000" w:themeColor="text1"/>
                  <w:szCs w:val="22"/>
                  <w14:textFill>
                    <w14:solidFill>
                      <w14:schemeClr w14:val="tx1"/>
                    </w14:solidFill>
                  </w14:textFill>
                </w:rPr>
              </m:ctrlPr>
            </m:num>
            <m:den>
              <m:sSub>
                <m:sSubPr>
                  <m:ctrlPr>
                    <w:rPr>
                      <w:rFonts w:ascii="Cambria Math" w:hAnsi="Cambria Math"/>
                      <w:i/>
                      <w:color w:val="000000" w:themeColor="text1"/>
                      <w:szCs w:val="22"/>
                      <w14:textFill>
                        <w14:solidFill>
                          <w14:schemeClr w14:val="tx1"/>
                        </w14:solidFill>
                      </w14:textFill>
                    </w:rPr>
                  </m:ctrlPr>
                </m:sSubPr>
                <m:e>
                  <m:r>
                    <m:rPr/>
                    <w:rPr>
                      <w:rFonts w:ascii="Cambria Math" w:hAnsi="Cambria Math"/>
                      <w:color w:val="000000" w:themeColor="text1"/>
                      <w14:textFill>
                        <w14:solidFill>
                          <w14:schemeClr w14:val="tx1"/>
                        </w14:solidFill>
                      </w14:textFill>
                    </w:rPr>
                    <m:t>Q</m:t>
                  </m:r>
                  <m:ctrlPr>
                    <w:rPr>
                      <w:rFonts w:ascii="Cambria Math" w:hAnsi="Cambria Math"/>
                      <w:i/>
                      <w:color w:val="000000" w:themeColor="text1"/>
                      <w:szCs w:val="22"/>
                      <w14:textFill>
                        <w14:solidFill>
                          <w14:schemeClr w14:val="tx1"/>
                        </w14:solidFill>
                      </w14:textFill>
                    </w:rPr>
                  </m:ctrlPr>
                </m:e>
                <m:sub>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szCs w:val="22"/>
                      <w14:textFill>
                        <w14:solidFill>
                          <w14:schemeClr w14:val="tx1"/>
                        </w14:solidFill>
                      </w14:textFill>
                    </w:rPr>
                  </m:ctrlPr>
                </m:sub>
              </m:sSub>
              <m:ctrlPr>
                <w:rPr>
                  <w:rFonts w:ascii="Cambria Math" w:hAnsi="Cambria Math"/>
                  <w:i/>
                  <w:color w:val="000000" w:themeColor="text1"/>
                  <w:szCs w:val="22"/>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szCs w:val="22"/>
                  <w14:textFill>
                    <w14:solidFill>
                      <w14:schemeClr w14:val="tx1"/>
                    </w14:solidFill>
                  </w14:textFill>
                </w:rPr>
              </m:ctrlPr>
            </m:fPr>
            <m:num>
              <m:sSub>
                <m:sSubPr>
                  <m:ctrlPr>
                    <w:rPr>
                      <w:rFonts w:ascii="Cambria Math" w:hAnsi="Cambria Math"/>
                      <w:i/>
                      <w:color w:val="000000" w:themeColor="text1"/>
                      <w:szCs w:val="22"/>
                      <w14:textFill>
                        <w14:solidFill>
                          <w14:schemeClr w14:val="tx1"/>
                        </w14:solidFill>
                      </w14:textFill>
                    </w:rPr>
                  </m:ctrlPr>
                </m:sSubPr>
                <m:e>
                  <m:r>
                    <m:rPr/>
                    <w:rPr>
                      <w:rFonts w:ascii="Cambria Math" w:hAnsi="Cambria Math"/>
                      <w:color w:val="000000" w:themeColor="text1"/>
                      <w14:textFill>
                        <w14:solidFill>
                          <w14:schemeClr w14:val="tx1"/>
                        </w14:solidFill>
                      </w14:textFill>
                    </w:rPr>
                    <m:t>q</m:t>
                  </m:r>
                  <m:ctrlPr>
                    <w:rPr>
                      <w:rFonts w:ascii="Cambria Math" w:hAnsi="Cambria Math"/>
                      <w:i/>
                      <w:color w:val="000000" w:themeColor="text1"/>
                      <w:szCs w:val="22"/>
                      <w14:textFill>
                        <w14:solidFill>
                          <w14:schemeClr w14:val="tx1"/>
                        </w14:solidFill>
                      </w14:textFill>
                    </w:rPr>
                  </m:ctrlPr>
                </m:e>
                <m:sub>
                  <m:r>
                    <m:rPr/>
                    <w:rPr>
                      <w:rFonts w:ascii="Cambria Math" w:hAnsi="Cambria Math"/>
                      <w:color w:val="000000" w:themeColor="text1"/>
                      <w14:textFill>
                        <w14:solidFill>
                          <w14:schemeClr w14:val="tx1"/>
                        </w14:solidFill>
                      </w14:textFill>
                    </w:rPr>
                    <m:t>n</m:t>
                  </m:r>
                  <m:ctrlPr>
                    <w:rPr>
                      <w:rFonts w:ascii="Cambria Math" w:hAnsi="Cambria Math"/>
                      <w:i/>
                      <w:color w:val="000000" w:themeColor="text1"/>
                      <w:szCs w:val="22"/>
                      <w14:textFill>
                        <w14:solidFill>
                          <w14:schemeClr w14:val="tx1"/>
                        </w14:solidFill>
                      </w14:textFill>
                    </w:rPr>
                  </m:ctrlPr>
                </m:sub>
              </m:sSub>
              <m:ctrlPr>
                <w:rPr>
                  <w:rFonts w:ascii="Cambria Math" w:hAnsi="Cambria Math"/>
                  <w:i/>
                  <w:color w:val="000000" w:themeColor="text1"/>
                  <w:szCs w:val="22"/>
                  <w14:textFill>
                    <w14:solidFill>
                      <w14:schemeClr w14:val="tx1"/>
                    </w14:solidFill>
                  </w14:textFill>
                </w:rPr>
              </m:ctrlPr>
            </m:num>
            <m:den>
              <m:sSub>
                <m:sSubPr>
                  <m:ctrlPr>
                    <w:rPr>
                      <w:rFonts w:ascii="Cambria Math" w:hAnsi="Cambria Math"/>
                      <w:i/>
                      <w:color w:val="000000" w:themeColor="text1"/>
                      <w:szCs w:val="22"/>
                      <w14:textFill>
                        <w14:solidFill>
                          <w14:schemeClr w14:val="tx1"/>
                        </w14:solidFill>
                      </w14:textFill>
                    </w:rPr>
                  </m:ctrlPr>
                </m:sSubPr>
                <m:e>
                  <m:r>
                    <m:rPr/>
                    <w:rPr>
                      <w:rFonts w:ascii="Cambria Math" w:hAnsi="Cambria Math"/>
                      <w:color w:val="000000" w:themeColor="text1"/>
                      <w14:textFill>
                        <w14:solidFill>
                          <w14:schemeClr w14:val="tx1"/>
                        </w14:solidFill>
                      </w14:textFill>
                    </w:rPr>
                    <m:t>Q</m:t>
                  </m:r>
                  <m:ctrlPr>
                    <w:rPr>
                      <w:rFonts w:ascii="Cambria Math" w:hAnsi="Cambria Math"/>
                      <w:i/>
                      <w:color w:val="000000" w:themeColor="text1"/>
                      <w:szCs w:val="22"/>
                      <w14:textFill>
                        <w14:solidFill>
                          <w14:schemeClr w14:val="tx1"/>
                        </w14:solidFill>
                      </w14:textFill>
                    </w:rPr>
                  </m:ctrlPr>
                </m:e>
                <m:sub>
                  <m:r>
                    <m:rPr/>
                    <w:rPr>
                      <w:rFonts w:ascii="Cambria Math" w:hAnsi="Cambria Math"/>
                      <w:color w:val="000000" w:themeColor="text1"/>
                      <w14:textFill>
                        <w14:solidFill>
                          <w14:schemeClr w14:val="tx1"/>
                        </w14:solidFill>
                      </w14:textFill>
                    </w:rPr>
                    <m:t>n</m:t>
                  </m:r>
                  <m:ctrlPr>
                    <w:rPr>
                      <w:rFonts w:ascii="Cambria Math" w:hAnsi="Cambria Math"/>
                      <w:i/>
                      <w:color w:val="000000" w:themeColor="text1"/>
                      <w:szCs w:val="22"/>
                      <w14:textFill>
                        <w14:solidFill>
                          <w14:schemeClr w14:val="tx1"/>
                        </w14:solidFill>
                      </w14:textFill>
                    </w:rPr>
                  </m:ctrlPr>
                </m:sub>
              </m:sSub>
              <m:ctrlPr>
                <w:rPr>
                  <w:rFonts w:ascii="Cambria Math" w:hAnsi="Cambria Math"/>
                  <w:i/>
                  <w:color w:val="000000" w:themeColor="text1"/>
                  <w:szCs w:val="22"/>
                  <w14:textFill>
                    <w14:solidFill>
                      <w14:schemeClr w14:val="tx1"/>
                    </w14:solidFill>
                  </w14:textFill>
                </w:rPr>
              </m:ctrlPr>
            </m:den>
          </m:f>
        </m:oMath>
      </m:oMathPara>
    </w:p>
    <w:p>
      <w:pPr>
        <w:ind w:firstLine="560"/>
        <w:rPr>
          <w:color w:val="000000" w:themeColor="text1"/>
          <w14:textFill>
            <w14:solidFill>
              <w14:schemeClr w14:val="tx1"/>
            </w14:solidFill>
          </w14:textFill>
        </w:rPr>
      </w:pPr>
      <w:r>
        <w:rPr>
          <w:color w:val="000000" w:themeColor="text1"/>
          <w14:textFill>
            <w14:solidFill>
              <w14:schemeClr w14:val="tx1"/>
            </w14:solidFill>
          </w14:textFill>
        </w:rPr>
        <w:t>式中：</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q</w:t>
      </w:r>
      <w:r>
        <w:rPr>
          <w:color w:val="000000" w:themeColor="text1"/>
          <w:vertAlign w:val="subscript"/>
          <w14:textFill>
            <w14:solidFill>
              <w14:schemeClr w14:val="tx1"/>
            </w14:solidFill>
          </w14:textFill>
        </w:rPr>
        <w:t>1</w:t>
      </w:r>
      <w:r>
        <w:rPr>
          <w:color w:val="000000" w:themeColor="text1"/>
          <w14:textFill>
            <w14:solidFill>
              <w14:schemeClr w14:val="tx1"/>
            </w14:solidFill>
          </w14:textFill>
        </w:rPr>
        <w:t>，q</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，…，q</w:t>
      </w:r>
      <w:r>
        <w:rPr>
          <w:color w:val="000000" w:themeColor="text1"/>
          <w:vertAlign w:val="subscript"/>
          <w14:textFill>
            <w14:solidFill>
              <w14:schemeClr w14:val="tx1"/>
            </w14:solidFill>
          </w14:textFill>
        </w:rPr>
        <w:t>n</w:t>
      </w:r>
      <w:r>
        <w:rPr>
          <w:color w:val="000000" w:themeColor="text1"/>
          <w14:textFill>
            <w14:solidFill>
              <w14:schemeClr w14:val="tx1"/>
            </w14:solidFill>
          </w14:textFill>
        </w:rPr>
        <w:t>--每种风险物质的最大存在量，t；</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Q</w:t>
      </w:r>
      <w:r>
        <w:rPr>
          <w:color w:val="000000" w:themeColor="text1"/>
          <w:vertAlign w:val="subscript"/>
          <w14:textFill>
            <w14:solidFill>
              <w14:schemeClr w14:val="tx1"/>
            </w14:solidFill>
          </w14:textFill>
        </w:rPr>
        <w:t>1</w:t>
      </w:r>
      <w:r>
        <w:rPr>
          <w:color w:val="000000" w:themeColor="text1"/>
          <w14:textFill>
            <w14:solidFill>
              <w14:schemeClr w14:val="tx1"/>
            </w14:solidFill>
          </w14:textFill>
        </w:rPr>
        <w:t>，Q</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，…，Q</w:t>
      </w:r>
      <w:r>
        <w:rPr>
          <w:color w:val="000000" w:themeColor="text1"/>
          <w:vertAlign w:val="subscript"/>
          <w14:textFill>
            <w14:solidFill>
              <w14:schemeClr w14:val="tx1"/>
            </w14:solidFill>
          </w14:textFill>
        </w:rPr>
        <w:t>n</w:t>
      </w:r>
      <w:r>
        <w:rPr>
          <w:color w:val="000000" w:themeColor="text1"/>
          <w14:textFill>
            <w14:solidFill>
              <w14:schemeClr w14:val="tx1"/>
            </w14:solidFill>
          </w14:textFill>
        </w:rPr>
        <w:t>——每种风险物质的临界量，t。</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按照数值大小，将Q划分为4个水平：</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（1）Q＜1，以Q</w:t>
      </w:r>
      <w:r>
        <w:rPr>
          <w:color w:val="000000" w:themeColor="text1"/>
          <w:vertAlign w:val="subscript"/>
          <w14:textFill>
            <w14:solidFill>
              <w14:schemeClr w14:val="tx1"/>
            </w14:solidFill>
          </w14:textFill>
        </w:rPr>
        <w:t>0</w:t>
      </w:r>
      <w:r>
        <w:rPr>
          <w:color w:val="000000" w:themeColor="text1"/>
          <w14:textFill>
            <w14:solidFill>
              <w14:schemeClr w14:val="tx1"/>
            </w14:solidFill>
          </w14:textFill>
        </w:rPr>
        <w:t>表示，企业直接评为一般环境风险等级；</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（2）1≤Q＜10，以Q</w:t>
      </w:r>
      <w:r>
        <w:rPr>
          <w:color w:val="000000" w:themeColor="text1"/>
          <w:vertAlign w:val="subscript"/>
          <w14:textFill>
            <w14:solidFill>
              <w14:schemeClr w14:val="tx1"/>
            </w14:solidFill>
          </w14:textFill>
        </w:rPr>
        <w:t>1</w:t>
      </w:r>
      <w:r>
        <w:rPr>
          <w:color w:val="000000" w:themeColor="text1"/>
          <w14:textFill>
            <w14:solidFill>
              <w14:schemeClr w14:val="tx1"/>
            </w14:solidFill>
          </w14:textFill>
        </w:rPr>
        <w:t>表示；</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（3）10≤Q＜100，以Q</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表示；</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（4）Q≥100，以Q</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表示。</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本工程作为一个道路工程，其本身并不使用或者存储危险化学品物质。事故风险概率通过本道路的危险化学品运输车辆可看作是一个个危险品储存库，因此，本公路的Q值主要依据危险化学品运输车辆的最大运载量来进行计算。</w:t>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表7-1  涉气环境风险物质筛选</w:t>
      </w:r>
    </w:p>
    <w:tbl>
      <w:tblPr>
        <w:tblStyle w:val="22"/>
        <w:tblW w:w="5000" w:type="pct"/>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2363"/>
        <w:gridCol w:w="2105"/>
        <w:gridCol w:w="1330"/>
        <w:gridCol w:w="272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1386"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企业风险物质名称</w:t>
            </w:r>
          </w:p>
        </w:tc>
        <w:tc>
          <w:tcPr>
            <w:tcW w:w="1235"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最大存储/使用量（t）</w:t>
            </w:r>
          </w:p>
        </w:tc>
        <w:tc>
          <w:tcPr>
            <w:tcW w:w="780"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临界量（t）</w:t>
            </w:r>
          </w:p>
        </w:tc>
        <w:tc>
          <w:tcPr>
            <w:tcW w:w="1598"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物质数量与临界量比值</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1386"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汽油</w:t>
            </w:r>
          </w:p>
        </w:tc>
        <w:tc>
          <w:tcPr>
            <w:tcW w:w="1235"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30.0</w:t>
            </w:r>
          </w:p>
        </w:tc>
        <w:tc>
          <w:tcPr>
            <w:tcW w:w="780"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2500</w:t>
            </w:r>
          </w:p>
        </w:tc>
        <w:tc>
          <w:tcPr>
            <w:tcW w:w="1598"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0.012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1386"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柴油</w:t>
            </w:r>
          </w:p>
        </w:tc>
        <w:tc>
          <w:tcPr>
            <w:tcW w:w="1235"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30.0</w:t>
            </w:r>
          </w:p>
        </w:tc>
        <w:tc>
          <w:tcPr>
            <w:tcW w:w="780"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2500</w:t>
            </w:r>
          </w:p>
        </w:tc>
        <w:tc>
          <w:tcPr>
            <w:tcW w:w="1598"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0.012</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386"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甲烷</w:t>
            </w:r>
          </w:p>
        </w:tc>
        <w:tc>
          <w:tcPr>
            <w:tcW w:w="1235"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3.5</w:t>
            </w:r>
          </w:p>
        </w:tc>
        <w:tc>
          <w:tcPr>
            <w:tcW w:w="780"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w:t>
            </w:r>
          </w:p>
        </w:tc>
        <w:tc>
          <w:tcPr>
            <w:tcW w:w="1598" w:type="pct"/>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0.350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84" w:hRule="atLeast"/>
          <w:jc w:val="center"/>
        </w:trPr>
        <w:tc>
          <w:tcPr>
            <w:tcW w:w="3401" w:type="pct"/>
            <w:gridSpan w:val="3"/>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合计</w:t>
            </w:r>
          </w:p>
        </w:tc>
        <w:tc>
          <w:tcPr>
            <w:tcW w:w="1598" w:type="pct"/>
            <w:shd w:val="clear" w:color="auto" w:fill="auto"/>
            <w:vAlign w:val="center"/>
          </w:tcPr>
          <w:p>
            <w:pPr>
              <w:pStyle w:val="56"/>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0.37</w:t>
            </w:r>
            <w:r>
              <w:rPr>
                <w:color w:val="000000" w:themeColor="text1"/>
                <w:sz w:val="21"/>
                <w:szCs w:val="21"/>
                <w14:textFill>
                  <w14:solidFill>
                    <w14:schemeClr w14:val="tx1"/>
                  </w14:solidFill>
                </w14:textFill>
              </w:rPr>
              <w:t>4</w:t>
            </w:r>
          </w:p>
        </w:tc>
      </w:tr>
    </w:tbl>
    <w:p>
      <w:pPr>
        <w:ind w:firstLine="560"/>
        <w:rPr>
          <w:rFonts w:hint="eastAsia" w:eastAsia="仿宋"/>
          <w:color w:val="000000" w:themeColor="text1"/>
          <w:lang w:eastAsia="zh-CN"/>
          <w14:textFill>
            <w14:solidFill>
              <w14:schemeClr w14:val="tx1"/>
            </w14:solidFill>
          </w14:textFill>
        </w:rPr>
      </w:pPr>
      <w:r>
        <w:rPr>
          <w:color w:val="000000" w:themeColor="text1"/>
          <w14:textFill>
            <w14:solidFill>
              <w14:schemeClr w14:val="tx1"/>
            </w14:solidFill>
          </w14:textFill>
        </w:rPr>
        <w:t>由上表可知，本工程环境风险物质数量与临界值比值（Q）为</w:t>
      </w:r>
      <w:r>
        <w:rPr>
          <w:rFonts w:hint="eastAsia"/>
          <w:color w:val="000000" w:themeColor="text1"/>
          <w:lang w:val="en-US" w:eastAsia="zh-CN"/>
          <w14:textFill>
            <w14:solidFill>
              <w14:schemeClr w14:val="tx1"/>
            </w14:solidFill>
          </w14:textFill>
        </w:rPr>
        <w:t>0.374</w:t>
      </w:r>
      <w:r>
        <w:rPr>
          <w:color w:val="000000" w:themeColor="text1"/>
          <w14:textFill>
            <w14:solidFill>
              <w14:schemeClr w14:val="tx1"/>
            </w14:solidFill>
          </w14:textFill>
        </w:rPr>
        <w:t>，为Q</w:t>
      </w:r>
      <w:r>
        <w:rPr>
          <w:rFonts w:hint="eastAsia"/>
          <w:color w:val="000000" w:themeColor="text1"/>
          <w:vertAlign w:val="subscript"/>
          <w:lang w:val="en-US" w:eastAsia="zh-CN"/>
          <w14:textFill>
            <w14:solidFill>
              <w14:schemeClr w14:val="tx1"/>
            </w14:solidFill>
          </w14:textFill>
        </w:rPr>
        <w:t>0</w:t>
      </w:r>
      <w:r>
        <w:rPr>
          <w:color w:val="000000" w:themeColor="text1"/>
          <w14:textFill>
            <w14:solidFill>
              <w14:schemeClr w14:val="tx1"/>
            </w14:solidFill>
          </w14:textFill>
        </w:rPr>
        <w:t>级</w:t>
      </w:r>
      <w:r>
        <w:rPr>
          <w:rFonts w:hint="eastAsia"/>
          <w:color w:val="000000" w:themeColor="text1"/>
          <w:lang w:eastAsia="zh-CN"/>
          <w14:textFill>
            <w14:solidFill>
              <w14:schemeClr w14:val="tx1"/>
            </w14:solidFill>
          </w14:textFill>
        </w:rPr>
        <w:t>，</w:t>
      </w:r>
      <w:r>
        <w:rPr>
          <w:color w:val="000000" w:themeColor="text1"/>
          <w14:textFill>
            <w14:solidFill>
              <w14:schemeClr w14:val="tx1"/>
            </w14:solidFill>
          </w14:textFill>
        </w:rPr>
        <w:t>故本项目企业突发</w:t>
      </w:r>
      <w:r>
        <w:rPr>
          <w:rFonts w:hint="eastAsia"/>
          <w:color w:val="000000" w:themeColor="text1"/>
          <w:lang w:eastAsia="zh-CN"/>
          <w14:textFill>
            <w14:solidFill>
              <w14:schemeClr w14:val="tx1"/>
            </w14:solidFill>
          </w14:textFill>
        </w:rPr>
        <w:t>大气</w:t>
      </w:r>
      <w:r>
        <w:rPr>
          <w:color w:val="000000" w:themeColor="text1"/>
          <w14:textFill>
            <w14:solidFill>
              <w14:schemeClr w14:val="tx1"/>
            </w14:solidFill>
          </w14:textFill>
        </w:rPr>
        <w:t>环境事件风险等级为一般环境风险等级。</w:t>
      </w:r>
    </w:p>
    <w:p>
      <w:pPr>
        <w:pStyle w:val="11"/>
        <w:ind w:firstLine="562"/>
        <w:rPr>
          <w:rFonts w:eastAsia="仿宋"/>
          <w:color w:val="000000" w:themeColor="text1"/>
          <w14:textFill>
            <w14:solidFill>
              <w14:schemeClr w14:val="tx1"/>
            </w14:solidFill>
          </w14:textFill>
        </w:rPr>
      </w:pPr>
      <w:bookmarkStart w:id="184" w:name="_Toc69739760"/>
      <w:r>
        <w:rPr>
          <w:rFonts w:eastAsia="仿宋"/>
          <w:color w:val="000000" w:themeColor="text1"/>
          <w14:textFill>
            <w14:solidFill>
              <w14:schemeClr w14:val="tx1"/>
            </w14:solidFill>
          </w14:textFill>
        </w:rPr>
        <w:t>7.2.2 生产工艺过程与大气环境风险控制水平（M）评估</w:t>
      </w:r>
      <w:bookmarkEnd w:id="184"/>
    </w:p>
    <w:p>
      <w:pPr>
        <w:ind w:firstLine="560"/>
        <w:rPr>
          <w:color w:val="000000" w:themeColor="text1"/>
          <w14:textFill>
            <w14:solidFill>
              <w14:schemeClr w14:val="tx1"/>
            </w14:solidFill>
          </w14:textFill>
        </w:rPr>
      </w:pPr>
      <w:r>
        <w:rPr>
          <w:color w:val="000000" w:themeColor="text1"/>
          <w14:textFill>
            <w14:solidFill>
              <w14:schemeClr w14:val="tx1"/>
            </w14:solidFill>
          </w14:textFill>
        </w:rPr>
        <w:t>依据《企业突发环境事件风险分级方法》（HJ 941-2018）中表1、表2计算</w:t>
      </w:r>
      <w:r>
        <w:rPr>
          <w:rFonts w:hint="eastAsia"/>
          <w:color w:val="000000" w:themeColor="text1"/>
          <w:lang w:eastAsia="zh-CN"/>
          <w14:textFill>
            <w14:solidFill>
              <w14:schemeClr w14:val="tx1"/>
            </w14:solidFill>
          </w14:textFill>
        </w:rPr>
        <w:t>西安绕城高速公路扩能提升工程</w:t>
      </w:r>
      <w:r>
        <w:rPr>
          <w:color w:val="000000" w:themeColor="text1"/>
          <w14:textFill>
            <w14:solidFill>
              <w14:schemeClr w14:val="tx1"/>
            </w14:solidFill>
          </w14:textFill>
        </w:rPr>
        <w:t>的生产工艺过程与大气环境风险控制水平分值，具体内容如表7-2所示。</w:t>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表7-2  生产工艺过程与大气环境风险控制水平分值表</w:t>
      </w:r>
    </w:p>
    <w:tbl>
      <w:tblPr>
        <w:tblStyle w:val="22"/>
        <w:tblW w:w="0" w:type="auto"/>
        <w:tblInd w:w="0" w:type="dxa"/>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Layout w:type="autofit"/>
        <w:tblCellMar>
          <w:top w:w="0" w:type="dxa"/>
          <w:left w:w="108" w:type="dxa"/>
          <w:bottom w:w="0" w:type="dxa"/>
          <w:right w:w="108" w:type="dxa"/>
        </w:tblCellMar>
      </w:tblPr>
      <w:tblGrid>
        <w:gridCol w:w="6314"/>
        <w:gridCol w:w="1411"/>
        <w:gridCol w:w="797"/>
      </w:tblGrid>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0" w:type="auto"/>
            <w:gridSpan w:val="3"/>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企业生产工艺过程评估</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6368" w:type="dxa"/>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评估依据</w:t>
            </w:r>
          </w:p>
        </w:tc>
        <w:tc>
          <w:tcPr>
            <w:tcW w:w="1282" w:type="dxa"/>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分值</w:t>
            </w:r>
          </w:p>
        </w:tc>
        <w:tc>
          <w:tcPr>
            <w:tcW w:w="652" w:type="dxa"/>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得分</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6368" w:type="dxa"/>
            <w:shd w:val="clear" w:color="auto" w:fill="auto"/>
            <w:vAlign w:val="center"/>
          </w:tcPr>
          <w:p>
            <w:pPr>
              <w:pStyle w:val="56"/>
              <w:jc w:val="left"/>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涉及光气及光气化工艺、电解工艺（氯碱）、氯化工艺、硝化工艺、合成氨工艺、裂解（裂化）工艺、氟化工艺、加氢工艺、重氮化工艺、氧化工艺、过氧化工艺、胺基化工艺、磺化工艺、聚合工艺、烷基化工艺、新型煤化工工艺、电石生产工艺、偶氮化工艺</w:t>
            </w:r>
          </w:p>
        </w:tc>
        <w:tc>
          <w:tcPr>
            <w:tcW w:w="1282" w:type="dxa"/>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10/每套</w:t>
            </w:r>
          </w:p>
        </w:tc>
        <w:tc>
          <w:tcPr>
            <w:tcW w:w="652" w:type="dxa"/>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6368" w:type="dxa"/>
            <w:shd w:val="clear" w:color="auto" w:fill="auto"/>
            <w:vAlign w:val="center"/>
          </w:tcPr>
          <w:p>
            <w:pPr>
              <w:pStyle w:val="56"/>
              <w:jc w:val="left"/>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其他高温或高压、涉及易燃易爆等物质的工艺过程a</w:t>
            </w:r>
          </w:p>
        </w:tc>
        <w:tc>
          <w:tcPr>
            <w:tcW w:w="1282" w:type="dxa"/>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5/每套</w:t>
            </w:r>
          </w:p>
        </w:tc>
        <w:tc>
          <w:tcPr>
            <w:tcW w:w="652" w:type="dxa"/>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6368" w:type="dxa"/>
            <w:shd w:val="clear" w:color="auto" w:fill="auto"/>
            <w:vAlign w:val="center"/>
          </w:tcPr>
          <w:p>
            <w:pPr>
              <w:pStyle w:val="56"/>
              <w:jc w:val="left"/>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具有国家规定限期淘汰的工艺名录和设备b</w:t>
            </w:r>
          </w:p>
        </w:tc>
        <w:tc>
          <w:tcPr>
            <w:tcW w:w="1282" w:type="dxa"/>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5/每套</w:t>
            </w:r>
          </w:p>
        </w:tc>
        <w:tc>
          <w:tcPr>
            <w:tcW w:w="652" w:type="dxa"/>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6368" w:type="dxa"/>
            <w:shd w:val="clear" w:color="auto" w:fill="auto"/>
            <w:vAlign w:val="center"/>
          </w:tcPr>
          <w:p>
            <w:pPr>
              <w:pStyle w:val="56"/>
              <w:jc w:val="left"/>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不涉及以上危险工艺过程或国家规定的禁用工艺/设备</w:t>
            </w:r>
          </w:p>
        </w:tc>
        <w:tc>
          <w:tcPr>
            <w:tcW w:w="1282" w:type="dxa"/>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w:t>
            </w:r>
          </w:p>
        </w:tc>
        <w:tc>
          <w:tcPr>
            <w:tcW w:w="652" w:type="dxa"/>
            <w:shd w:val="clear" w:color="auto" w:fill="auto"/>
            <w:vAlign w:val="center"/>
          </w:tcPr>
          <w:p>
            <w:pPr>
              <w:pStyle w:val="56"/>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0" w:type="auto"/>
            <w:gridSpan w:val="3"/>
            <w:shd w:val="clear" w:color="auto" w:fill="auto"/>
            <w:vAlign w:val="center"/>
          </w:tcPr>
          <w:p>
            <w:pPr>
              <w:pStyle w:val="56"/>
              <w:jc w:val="left"/>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注：a高温指工艺温度≥300℃，高压指压力容器的设计压力（p）≥10.0MPa，易燃易爆等物质是指按照GB30000.2至GB30000.13所确定的化学物质；</w:t>
            </w:r>
          </w:p>
          <w:p>
            <w:pPr>
              <w:pStyle w:val="56"/>
              <w:ind w:firstLine="420" w:firstLineChars="200"/>
              <w:jc w:val="left"/>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b指《产业结构调整指导目录》中有淘汰期限的淘汰类落后生产工艺装备</w:t>
            </w:r>
          </w:p>
        </w:tc>
      </w:tr>
    </w:tbl>
    <w:p>
      <w:pPr>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br w:type="page"/>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表7-3  企业大气环境风险防控措施与突发大气环境事件发生情况评估</w:t>
      </w:r>
    </w:p>
    <w:tbl>
      <w:tblPr>
        <w:tblStyle w:val="22"/>
        <w:tblW w:w="0" w:type="auto"/>
        <w:tblInd w:w="0" w:type="dxa"/>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Layout w:type="autofit"/>
        <w:tblCellMar>
          <w:top w:w="0" w:type="dxa"/>
          <w:left w:w="108" w:type="dxa"/>
          <w:bottom w:w="0" w:type="dxa"/>
          <w:right w:w="108" w:type="dxa"/>
        </w:tblCellMar>
      </w:tblPr>
      <w:tblGrid>
        <w:gridCol w:w="1696"/>
        <w:gridCol w:w="5516"/>
        <w:gridCol w:w="636"/>
        <w:gridCol w:w="636"/>
      </w:tblGrid>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1696"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评估指标</w:t>
            </w:r>
          </w:p>
        </w:tc>
        <w:tc>
          <w:tcPr>
            <w:tcW w:w="5516"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评估依据</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分值</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得分</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1696" w:type="dxa"/>
            <w:vMerge w:val="restar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毒性气体泄漏监控预警措施</w:t>
            </w:r>
          </w:p>
        </w:tc>
        <w:tc>
          <w:tcPr>
            <w:tcW w:w="5516"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（1）不涉及附录A中有毒有害气体的；或（2）根据实际情况，具备有毒有害气体（如硫化氢、氰化氢、氯化氢、光气、氯气、氨气、苯等）厂界泄漏监控预警系统的</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0" w:type="auto"/>
            <w:vMerge w:val="continue"/>
            <w:shd w:val="clear" w:color="auto" w:fill="auto"/>
            <w:vAlign w:val="center"/>
          </w:tcPr>
          <w:p>
            <w:pPr>
              <w:pStyle w:val="58"/>
              <w:rPr>
                <w:color w:val="000000" w:themeColor="text1"/>
                <w:sz w:val="21"/>
                <w:szCs w:val="21"/>
                <w14:textFill>
                  <w14:solidFill>
                    <w14:schemeClr w14:val="tx1"/>
                  </w14:solidFill>
                </w14:textFill>
              </w:rPr>
            </w:pPr>
          </w:p>
        </w:tc>
        <w:tc>
          <w:tcPr>
            <w:tcW w:w="5516"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不具备厂界有毒有害气体泄漏监控预警系统的</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25</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1696" w:type="dxa"/>
            <w:vMerge w:val="restar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符合防护距离情况</w:t>
            </w:r>
          </w:p>
        </w:tc>
        <w:tc>
          <w:tcPr>
            <w:tcW w:w="5516"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符合环评及批复文件防护距离要求的</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0" w:type="auto"/>
            <w:vMerge w:val="continue"/>
            <w:shd w:val="clear" w:color="auto" w:fill="auto"/>
            <w:vAlign w:val="center"/>
          </w:tcPr>
          <w:p>
            <w:pPr>
              <w:pStyle w:val="58"/>
              <w:rPr>
                <w:color w:val="000000" w:themeColor="text1"/>
                <w:sz w:val="21"/>
                <w:szCs w:val="21"/>
                <w14:textFill>
                  <w14:solidFill>
                    <w14:schemeClr w14:val="tx1"/>
                  </w14:solidFill>
                </w14:textFill>
              </w:rPr>
            </w:pPr>
          </w:p>
        </w:tc>
        <w:tc>
          <w:tcPr>
            <w:tcW w:w="5516"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不符合环评及批复文件防护距离要求的</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25</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1696" w:type="dxa"/>
            <w:vMerge w:val="restar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近3年内突发大气环境事件发生情况</w:t>
            </w:r>
          </w:p>
        </w:tc>
        <w:tc>
          <w:tcPr>
            <w:tcW w:w="5516"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发生过特别重大或重大等级突发大气环境事件的</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20</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0" w:type="auto"/>
            <w:vMerge w:val="continue"/>
            <w:shd w:val="clear" w:color="auto" w:fill="auto"/>
            <w:vAlign w:val="center"/>
          </w:tcPr>
          <w:p>
            <w:pPr>
              <w:pStyle w:val="58"/>
              <w:rPr>
                <w:color w:val="000000" w:themeColor="text1"/>
                <w:sz w:val="21"/>
                <w:szCs w:val="21"/>
                <w14:textFill>
                  <w14:solidFill>
                    <w14:schemeClr w14:val="tx1"/>
                  </w14:solidFill>
                </w14:textFill>
              </w:rPr>
            </w:pPr>
          </w:p>
        </w:tc>
        <w:tc>
          <w:tcPr>
            <w:tcW w:w="5516"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发生过较大等级突发大气环境事件的</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15</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0" w:type="auto"/>
            <w:vMerge w:val="continue"/>
            <w:shd w:val="clear" w:color="auto" w:fill="auto"/>
            <w:vAlign w:val="center"/>
          </w:tcPr>
          <w:p>
            <w:pPr>
              <w:pStyle w:val="58"/>
              <w:rPr>
                <w:color w:val="000000" w:themeColor="text1"/>
                <w:sz w:val="21"/>
                <w:szCs w:val="21"/>
                <w14:textFill>
                  <w14:solidFill>
                    <w14:schemeClr w14:val="tx1"/>
                  </w14:solidFill>
                </w14:textFill>
              </w:rPr>
            </w:pPr>
          </w:p>
        </w:tc>
        <w:tc>
          <w:tcPr>
            <w:tcW w:w="5516"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发生过一般等级突发大气环境事件的</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0" w:type="auto"/>
            <w:vMerge w:val="continue"/>
            <w:shd w:val="clear" w:color="auto" w:fill="auto"/>
            <w:vAlign w:val="center"/>
          </w:tcPr>
          <w:p>
            <w:pPr>
              <w:pStyle w:val="58"/>
              <w:rPr>
                <w:color w:val="000000" w:themeColor="text1"/>
                <w:sz w:val="21"/>
                <w:szCs w:val="21"/>
                <w14:textFill>
                  <w14:solidFill>
                    <w14:schemeClr w14:val="tx1"/>
                  </w14:solidFill>
                </w14:textFill>
              </w:rPr>
            </w:pPr>
          </w:p>
        </w:tc>
        <w:tc>
          <w:tcPr>
            <w:tcW w:w="5516"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未发生突发大气环境事件的</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1696"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合计</w:t>
            </w:r>
          </w:p>
        </w:tc>
        <w:tc>
          <w:tcPr>
            <w:tcW w:w="5516"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0</w:t>
            </w:r>
          </w:p>
        </w:tc>
      </w:tr>
    </w:tbl>
    <w:p>
      <w:pPr>
        <w:pStyle w:val="55"/>
        <w:rPr>
          <w:color w:val="000000" w:themeColor="text1"/>
          <w14:textFill>
            <w14:solidFill>
              <w14:schemeClr w14:val="tx1"/>
            </w14:solidFill>
          </w14:textFill>
        </w:rPr>
      </w:pP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表7-4  企业生产工艺过程与环境风险控制水平类型划分</w:t>
      </w:r>
    </w:p>
    <w:tbl>
      <w:tblPr>
        <w:tblStyle w:val="22"/>
        <w:tblW w:w="0" w:type="auto"/>
        <w:jc w:val="center"/>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Layout w:type="autofit"/>
        <w:tblCellMar>
          <w:top w:w="0" w:type="dxa"/>
          <w:left w:w="108" w:type="dxa"/>
          <w:bottom w:w="0" w:type="dxa"/>
          <w:right w:w="108" w:type="dxa"/>
        </w:tblCellMar>
      </w:tblPr>
      <w:tblGrid>
        <w:gridCol w:w="4143"/>
        <w:gridCol w:w="4143"/>
      </w:tblGrid>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4143"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生产工艺过程与环境风险控制水平值</w:t>
            </w:r>
          </w:p>
        </w:tc>
        <w:tc>
          <w:tcPr>
            <w:tcW w:w="4143"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生产工艺过程与环境风险控制水平类型</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4143"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M＜25</w:t>
            </w:r>
          </w:p>
        </w:tc>
        <w:tc>
          <w:tcPr>
            <w:tcW w:w="4143"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M1</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4143"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25≤M＜45</w:t>
            </w:r>
          </w:p>
        </w:tc>
        <w:tc>
          <w:tcPr>
            <w:tcW w:w="4143"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M2</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4143"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45≤M＜60</w:t>
            </w:r>
          </w:p>
        </w:tc>
        <w:tc>
          <w:tcPr>
            <w:tcW w:w="4143"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M3</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4143"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M≥65</w:t>
            </w:r>
          </w:p>
        </w:tc>
        <w:tc>
          <w:tcPr>
            <w:tcW w:w="4143" w:type="dxa"/>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M4</w:t>
            </w:r>
          </w:p>
        </w:tc>
      </w:tr>
    </w:tbl>
    <w:p>
      <w:pPr>
        <w:ind w:firstLine="560"/>
        <w:rPr>
          <w:color w:val="000000" w:themeColor="text1"/>
          <w14:textFill>
            <w14:solidFill>
              <w14:schemeClr w14:val="tx1"/>
            </w14:solidFill>
          </w14:textFill>
        </w:rPr>
      </w:pPr>
      <w:r>
        <w:rPr>
          <w:color w:val="000000" w:themeColor="text1"/>
          <w14:textFill>
            <w14:solidFill>
              <w14:schemeClr w14:val="tx1"/>
            </w14:solidFill>
          </w14:textFill>
        </w:rPr>
        <w:t>根据生产工艺过程与风险控制水平对照表得知，本工程生产工艺过程与大气环境风险控制水平属于M</w:t>
      </w:r>
      <w:r>
        <w:rPr>
          <w:color w:val="000000" w:themeColor="text1"/>
          <w:vertAlign w:val="subscript"/>
          <w14:textFill>
            <w14:solidFill>
              <w14:schemeClr w14:val="tx1"/>
            </w14:solidFill>
          </w14:textFill>
        </w:rPr>
        <w:t>1</w:t>
      </w:r>
      <w:r>
        <w:rPr>
          <w:color w:val="000000" w:themeColor="text1"/>
          <w14:textFill>
            <w14:solidFill>
              <w14:schemeClr w14:val="tx1"/>
            </w14:solidFill>
          </w14:textFill>
        </w:rPr>
        <w:t>类型。</w:t>
      </w:r>
    </w:p>
    <w:p>
      <w:pPr>
        <w:pStyle w:val="11"/>
        <w:ind w:firstLine="562"/>
        <w:rPr>
          <w:rFonts w:eastAsia="仿宋"/>
          <w:color w:val="000000" w:themeColor="text1"/>
          <w14:textFill>
            <w14:solidFill>
              <w14:schemeClr w14:val="tx1"/>
            </w14:solidFill>
          </w14:textFill>
        </w:rPr>
      </w:pPr>
      <w:bookmarkStart w:id="185" w:name="_Toc69739761"/>
      <w:r>
        <w:rPr>
          <w:rFonts w:eastAsia="仿宋"/>
          <w:color w:val="000000" w:themeColor="text1"/>
          <w14:textFill>
            <w14:solidFill>
              <w14:schemeClr w14:val="tx1"/>
            </w14:solidFill>
          </w14:textFill>
        </w:rPr>
        <w:t>7.2.3 大气环境风险受体敏感程度（E）评估</w:t>
      </w:r>
      <w:bookmarkEnd w:id="185"/>
    </w:p>
    <w:p>
      <w:pPr>
        <w:ind w:firstLine="560"/>
        <w:rPr>
          <w:color w:val="000000" w:themeColor="text1"/>
          <w14:textFill>
            <w14:solidFill>
              <w14:schemeClr w14:val="tx1"/>
            </w14:solidFill>
          </w14:textFill>
        </w:rPr>
      </w:pPr>
      <w:r>
        <w:rPr>
          <w:color w:val="000000" w:themeColor="text1"/>
          <w14:textFill>
            <w14:solidFill>
              <w14:schemeClr w14:val="tx1"/>
            </w14:solidFill>
          </w14:textFill>
        </w:rPr>
        <w:t>大气环境风险受体敏感程度类型按照企业周边人口数进行划分。按照企业周边5公里或500米范围内人口数将大气环境风险受体敏感程度划分为类型1、类型2和类型3三种类型，分别以E</w:t>
      </w:r>
      <w:r>
        <w:rPr>
          <w:color w:val="000000" w:themeColor="text1"/>
          <w:vertAlign w:val="subscript"/>
          <w14:textFill>
            <w14:solidFill>
              <w14:schemeClr w14:val="tx1"/>
            </w14:solidFill>
          </w14:textFill>
        </w:rPr>
        <w:t>1</w:t>
      </w:r>
      <w:r>
        <w:rPr>
          <w:color w:val="000000" w:themeColor="text1"/>
          <w14:textFill>
            <w14:solidFill>
              <w14:schemeClr w14:val="tx1"/>
            </w14:solidFill>
          </w14:textFill>
        </w:rPr>
        <w:t>、E</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和E</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表示，见表7-5。</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大气环境风险受体敏感程度按类型1、类型2和类型3顺序依次降低。若企业周边存在多种敏感程度类型的大气环境风险受体，则按敏感程度高者确定企业大气环境风险受体敏感程度类型。</w:t>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表7-5  大气环境风险受体敏感程度类型划分</w:t>
      </w:r>
    </w:p>
    <w:tbl>
      <w:tblPr>
        <w:tblStyle w:val="22"/>
        <w:tblW w:w="0" w:type="auto"/>
        <w:tblInd w:w="0" w:type="dxa"/>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Layout w:type="autofit"/>
        <w:tblCellMar>
          <w:top w:w="0" w:type="dxa"/>
          <w:left w:w="108" w:type="dxa"/>
          <w:bottom w:w="0" w:type="dxa"/>
          <w:right w:w="108" w:type="dxa"/>
        </w:tblCellMar>
      </w:tblPr>
      <w:tblGrid>
        <w:gridCol w:w="1025"/>
        <w:gridCol w:w="7497"/>
      </w:tblGrid>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PrEx>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敏感程度类型</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大气环境风险受体</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PrEx>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类型1（E</w:t>
            </w:r>
            <w:r>
              <w:rPr>
                <w:color w:val="000000" w:themeColor="text1"/>
                <w:sz w:val="21"/>
                <w:szCs w:val="21"/>
                <w:vertAlign w:val="subscript"/>
                <w14:textFill>
                  <w14:solidFill>
                    <w14:schemeClr w14:val="tx1"/>
                  </w14:solidFill>
                </w14:textFill>
              </w:rPr>
              <w:t>1</w:t>
            </w: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企业周边5公里范围内居住区、医疗卫生机构、文化教育机构、科研单位、行政机关、企事业单位、商场、公园等人口总数5万人以上，或企业周边500米范围内人口总数1000人以上，或企业周边5公里涉及军事禁区、军事管理区、国家相关保密区域。</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类型2（E</w:t>
            </w:r>
            <w:r>
              <w:rPr>
                <w:color w:val="000000" w:themeColor="text1"/>
                <w:sz w:val="21"/>
                <w:szCs w:val="21"/>
                <w:vertAlign w:val="subscript"/>
                <w14:textFill>
                  <w14:solidFill>
                    <w14:schemeClr w14:val="tx1"/>
                  </w14:solidFill>
                </w14:textFill>
              </w:rPr>
              <w:t>2</w:t>
            </w: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企业周边5公里范围内居住区、医疗卫生机构、文化教育机构、科研单位、行政机关、企事业单位、商场、公园等人口总数1万人以上、5万人以下，或企业周边500米范围内人口总数500人以上、1000人以下。</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类型3（E</w:t>
            </w:r>
            <w:r>
              <w:rPr>
                <w:color w:val="000000" w:themeColor="text1"/>
                <w:sz w:val="21"/>
                <w:szCs w:val="21"/>
                <w:vertAlign w:val="subscript"/>
                <w14:textFill>
                  <w14:solidFill>
                    <w14:schemeClr w14:val="tx1"/>
                  </w14:solidFill>
                </w14:textFill>
              </w:rPr>
              <w:t>3</w:t>
            </w: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企业周边5公里范围内居住区、医疗卫生机构、文化教育机构、科研单位、行政机关、企事业单位、商场、公园等人口总数1万人以下，且企业周边500米范围内人口总数500人以下。</w:t>
            </w:r>
          </w:p>
        </w:tc>
      </w:tr>
    </w:tbl>
    <w:p>
      <w:pPr>
        <w:ind w:firstLine="560"/>
        <w:rPr>
          <w:color w:val="000000" w:themeColor="text1"/>
          <w14:textFill>
            <w14:solidFill>
              <w14:schemeClr w14:val="tx1"/>
            </w14:solidFill>
          </w14:textFill>
        </w:rPr>
      </w:pPr>
      <w:r>
        <w:rPr>
          <w:color w:val="000000" w:themeColor="text1"/>
          <w14:textFill>
            <w14:solidFill>
              <w14:schemeClr w14:val="tx1"/>
            </w14:solidFill>
          </w14:textFill>
        </w:rPr>
        <w:t>工程沿线</w:t>
      </w:r>
      <w:r>
        <w:rPr>
          <w:rFonts w:hint="eastAsia"/>
          <w:color w:val="000000" w:themeColor="text1"/>
          <w14:textFill>
            <w14:solidFill>
              <w14:schemeClr w14:val="tx1"/>
            </w14:solidFill>
          </w14:textFill>
        </w:rPr>
        <w:t>500米范围内人口总数1000人以上</w:t>
      </w:r>
      <w:r>
        <w:rPr>
          <w:color w:val="000000" w:themeColor="text1"/>
          <w14:textFill>
            <w14:solidFill>
              <w14:schemeClr w14:val="tx1"/>
            </w14:solidFill>
          </w14:textFill>
        </w:rPr>
        <w:t>，符合类型</w:t>
      </w:r>
      <w:r>
        <w:rPr>
          <w:rFonts w:hint="eastAsia"/>
          <w:color w:val="000000" w:themeColor="text1"/>
          <w:lang w:val="en-US" w:eastAsia="zh-CN"/>
          <w14:textFill>
            <w14:solidFill>
              <w14:schemeClr w14:val="tx1"/>
            </w14:solidFill>
          </w14:textFill>
        </w:rPr>
        <w:t>1</w:t>
      </w:r>
      <w:r>
        <w:rPr>
          <w:color w:val="000000" w:themeColor="text1"/>
          <w14:textFill>
            <w14:solidFill>
              <w14:schemeClr w14:val="tx1"/>
            </w14:solidFill>
          </w14:textFill>
        </w:rPr>
        <w:t>（E</w:t>
      </w:r>
      <w:r>
        <w:rPr>
          <w:rFonts w:hint="eastAsia"/>
          <w:color w:val="000000" w:themeColor="text1"/>
          <w:vertAlign w:val="subscript"/>
          <w:lang w:val="en-US" w:eastAsia="zh-CN"/>
          <w14:textFill>
            <w14:solidFill>
              <w14:schemeClr w14:val="tx1"/>
            </w14:solidFill>
          </w14:textFill>
        </w:rPr>
        <w:t>1</w:t>
      </w:r>
      <w:r>
        <w:rPr>
          <w:color w:val="000000" w:themeColor="text1"/>
          <w14:textFill>
            <w14:solidFill>
              <w14:schemeClr w14:val="tx1"/>
            </w14:solidFill>
          </w14:textFill>
        </w:rPr>
        <w:t>）中“</w:t>
      </w:r>
      <w:r>
        <w:rPr>
          <w:rFonts w:hint="eastAsia"/>
          <w:color w:val="000000" w:themeColor="text1"/>
          <w14:textFill>
            <w14:solidFill>
              <w14:schemeClr w14:val="tx1"/>
            </w14:solidFill>
          </w14:textFill>
        </w:rPr>
        <w:t>企业周边500米范围内人口总数1000人以上</w:t>
      </w:r>
      <w:r>
        <w:rPr>
          <w:color w:val="000000" w:themeColor="text1"/>
          <w14:textFill>
            <w14:solidFill>
              <w14:schemeClr w14:val="tx1"/>
            </w14:solidFill>
          </w14:textFill>
        </w:rPr>
        <w:t>”，本项目的大气环境风险受体敏感程度为类型</w:t>
      </w:r>
      <w:r>
        <w:rPr>
          <w:rFonts w:hint="eastAsia"/>
          <w:color w:val="000000" w:themeColor="text1"/>
          <w:lang w:val="en-US" w:eastAsia="zh-CN"/>
          <w14:textFill>
            <w14:solidFill>
              <w14:schemeClr w14:val="tx1"/>
            </w14:solidFill>
          </w14:textFill>
        </w:rPr>
        <w:t>1</w:t>
      </w:r>
      <w:r>
        <w:rPr>
          <w:color w:val="000000" w:themeColor="text1"/>
          <w14:textFill>
            <w14:solidFill>
              <w14:schemeClr w14:val="tx1"/>
            </w14:solidFill>
          </w14:textFill>
        </w:rPr>
        <w:t>（E</w:t>
      </w:r>
      <w:r>
        <w:rPr>
          <w:rFonts w:hint="eastAsia"/>
          <w:color w:val="000000" w:themeColor="text1"/>
          <w:vertAlign w:val="subscript"/>
          <w:lang w:val="en-US" w:eastAsia="zh-CN"/>
          <w14:textFill>
            <w14:solidFill>
              <w14:schemeClr w14:val="tx1"/>
            </w14:solidFill>
          </w14:textFill>
        </w:rPr>
        <w:t>1</w:t>
      </w:r>
      <w:r>
        <w:rPr>
          <w:color w:val="000000" w:themeColor="text1"/>
          <w14:textFill>
            <w14:solidFill>
              <w14:schemeClr w14:val="tx1"/>
            </w14:solidFill>
          </w14:textFill>
        </w:rPr>
        <w:t>）。</w:t>
      </w:r>
    </w:p>
    <w:p>
      <w:pPr>
        <w:pStyle w:val="11"/>
        <w:ind w:firstLine="562"/>
        <w:rPr>
          <w:rFonts w:eastAsia="仿宋"/>
          <w:color w:val="000000" w:themeColor="text1"/>
          <w14:textFill>
            <w14:solidFill>
              <w14:schemeClr w14:val="tx1"/>
            </w14:solidFill>
          </w14:textFill>
        </w:rPr>
      </w:pPr>
      <w:bookmarkStart w:id="186" w:name="_Toc69739762"/>
      <w:r>
        <w:rPr>
          <w:rFonts w:eastAsia="仿宋"/>
          <w:color w:val="000000" w:themeColor="text1"/>
          <w14:textFill>
            <w14:solidFill>
              <w14:schemeClr w14:val="tx1"/>
            </w14:solidFill>
          </w14:textFill>
        </w:rPr>
        <w:t>7.2.4 突发大气环境事件风险等级确定</w:t>
      </w:r>
      <w:bookmarkEnd w:id="186"/>
    </w:p>
    <w:p>
      <w:pPr>
        <w:ind w:firstLine="560"/>
        <w:rPr>
          <w:color w:val="000000" w:themeColor="text1"/>
          <w14:textFill>
            <w14:solidFill>
              <w14:schemeClr w14:val="tx1"/>
            </w14:solidFill>
          </w14:textFill>
        </w:rPr>
      </w:pPr>
      <w:r>
        <w:rPr>
          <w:color w:val="000000" w:themeColor="text1"/>
          <w14:textFill>
            <w14:solidFill>
              <w14:schemeClr w14:val="tx1"/>
            </w14:solidFill>
          </w14:textFill>
        </w:rPr>
        <w:t>根据企业周边大气环境风险受体敏感程度（E）、涉气风险物质数量与临界量比值（Q）和生产工艺过程与大气环境风险控制水平（M），按照《企业突发环境事件风险分级方法》（HJ941-2018）中的表5确定本项目突发大气环境风险等级。</w:t>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表7-6  企业突发环境事件风险分级矩阵表</w:t>
      </w:r>
    </w:p>
    <w:tbl>
      <w:tblPr>
        <w:tblStyle w:val="22"/>
        <w:tblW w:w="0" w:type="auto"/>
        <w:jc w:val="center"/>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Layout w:type="autofit"/>
        <w:tblCellMar>
          <w:top w:w="0" w:type="dxa"/>
          <w:left w:w="108" w:type="dxa"/>
          <w:bottom w:w="0" w:type="dxa"/>
          <w:right w:w="108" w:type="dxa"/>
        </w:tblCellMar>
      </w:tblPr>
      <w:tblGrid>
        <w:gridCol w:w="2194"/>
        <w:gridCol w:w="2483"/>
        <w:gridCol w:w="961"/>
        <w:gridCol w:w="961"/>
        <w:gridCol w:w="961"/>
        <w:gridCol w:w="962"/>
      </w:tblGrid>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restar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环境风险受体敏感程度（E）</w:t>
            </w:r>
          </w:p>
        </w:tc>
        <w:tc>
          <w:tcPr>
            <w:tcW w:w="0" w:type="auto"/>
            <w:vMerge w:val="restar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风险物质数量与临界量比值（Q）</w:t>
            </w:r>
          </w:p>
        </w:tc>
        <w:tc>
          <w:tcPr>
            <w:tcW w:w="0" w:type="auto"/>
            <w:gridSpan w:val="4"/>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生产工艺过程与环境风险控制水平（M）</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continue"/>
            <w:shd w:val="clear" w:color="auto" w:fill="auto"/>
            <w:vAlign w:val="center"/>
          </w:tcPr>
          <w:p>
            <w:pPr>
              <w:pStyle w:val="58"/>
              <w:rPr>
                <w:color w:val="000000" w:themeColor="text1"/>
                <w:sz w:val="21"/>
                <w:szCs w:val="21"/>
                <w14:textFill>
                  <w14:solidFill>
                    <w14:schemeClr w14:val="tx1"/>
                  </w14:solidFill>
                </w14:textFill>
              </w:rPr>
            </w:pPr>
          </w:p>
        </w:tc>
        <w:tc>
          <w:tcPr>
            <w:tcW w:w="0" w:type="auto"/>
            <w:vMerge w:val="continue"/>
            <w:shd w:val="clear" w:color="auto" w:fill="auto"/>
            <w:vAlign w:val="center"/>
          </w:tcPr>
          <w:p>
            <w:pPr>
              <w:pStyle w:val="58"/>
              <w:rPr>
                <w:color w:val="000000" w:themeColor="text1"/>
                <w:sz w:val="21"/>
                <w:szCs w:val="21"/>
                <w14:textFill>
                  <w14:solidFill>
                    <w14:schemeClr w14:val="tx1"/>
                  </w14:solidFill>
                </w14:textFill>
              </w:rPr>
            </w:pP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M1类水平</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M2类水平</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M3类水平</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M4类水平</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PrEx>
        <w:trPr>
          <w:jc w:val="center"/>
        </w:trPr>
        <w:tc>
          <w:tcPr>
            <w:tcW w:w="0" w:type="auto"/>
            <w:vMerge w:val="restar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类型1（E1）</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1≤Q＜10（Q</w:t>
            </w:r>
            <w:r>
              <w:rPr>
                <w:color w:val="000000" w:themeColor="text1"/>
                <w:sz w:val="21"/>
                <w:szCs w:val="21"/>
                <w:vertAlign w:val="subscript"/>
                <w14:textFill>
                  <w14:solidFill>
                    <w14:schemeClr w14:val="tx1"/>
                  </w14:solidFill>
                </w14:textFill>
              </w:rPr>
              <w:t>1</w:t>
            </w: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continue"/>
            <w:shd w:val="clear" w:color="auto" w:fill="auto"/>
            <w:vAlign w:val="center"/>
          </w:tcPr>
          <w:p>
            <w:pPr>
              <w:pStyle w:val="58"/>
              <w:rPr>
                <w:color w:val="000000" w:themeColor="text1"/>
                <w:sz w:val="21"/>
                <w:szCs w:val="21"/>
                <w14:textFill>
                  <w14:solidFill>
                    <w14:schemeClr w14:val="tx1"/>
                  </w14:solidFill>
                </w14:textFill>
              </w:rPr>
            </w:pP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10≤Q＜100（Q</w:t>
            </w:r>
            <w:r>
              <w:rPr>
                <w:color w:val="000000" w:themeColor="text1"/>
                <w:sz w:val="21"/>
                <w:szCs w:val="21"/>
                <w:vertAlign w:val="subscript"/>
                <w14:textFill>
                  <w14:solidFill>
                    <w14:schemeClr w14:val="tx1"/>
                  </w14:solidFill>
                </w14:textFill>
              </w:rPr>
              <w:t>2</w:t>
            </w: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continue"/>
            <w:shd w:val="clear" w:color="auto" w:fill="auto"/>
            <w:vAlign w:val="center"/>
          </w:tcPr>
          <w:p>
            <w:pPr>
              <w:pStyle w:val="58"/>
              <w:rPr>
                <w:color w:val="000000" w:themeColor="text1"/>
                <w:sz w:val="21"/>
                <w:szCs w:val="21"/>
                <w14:textFill>
                  <w14:solidFill>
                    <w14:schemeClr w14:val="tx1"/>
                  </w14:solidFill>
                </w14:textFill>
              </w:rPr>
            </w:pP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Q≥100（Q</w:t>
            </w:r>
            <w:r>
              <w:rPr>
                <w:color w:val="000000" w:themeColor="text1"/>
                <w:sz w:val="21"/>
                <w:szCs w:val="21"/>
                <w:vertAlign w:val="subscript"/>
                <w14:textFill>
                  <w14:solidFill>
                    <w14:schemeClr w14:val="tx1"/>
                  </w14:solidFill>
                </w14:textFill>
              </w:rPr>
              <w:t>3</w:t>
            </w: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restar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类型2（E2）</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1≤Q＜10（Q</w:t>
            </w:r>
            <w:r>
              <w:rPr>
                <w:color w:val="000000" w:themeColor="text1"/>
                <w:sz w:val="21"/>
                <w:szCs w:val="21"/>
                <w:vertAlign w:val="subscript"/>
                <w14:textFill>
                  <w14:solidFill>
                    <w14:schemeClr w14:val="tx1"/>
                  </w14:solidFill>
                </w14:textFill>
              </w:rPr>
              <w:t>1</w:t>
            </w: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一般</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continue"/>
            <w:shd w:val="clear" w:color="auto" w:fill="auto"/>
            <w:vAlign w:val="center"/>
          </w:tcPr>
          <w:p>
            <w:pPr>
              <w:pStyle w:val="58"/>
              <w:rPr>
                <w:color w:val="000000" w:themeColor="text1"/>
                <w:sz w:val="21"/>
                <w:szCs w:val="21"/>
                <w14:textFill>
                  <w14:solidFill>
                    <w14:schemeClr w14:val="tx1"/>
                  </w14:solidFill>
                </w14:textFill>
              </w:rPr>
            </w:pP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10≤Q＜100（Q</w:t>
            </w:r>
            <w:r>
              <w:rPr>
                <w:color w:val="000000" w:themeColor="text1"/>
                <w:sz w:val="21"/>
                <w:szCs w:val="21"/>
                <w:vertAlign w:val="subscript"/>
                <w14:textFill>
                  <w14:solidFill>
                    <w14:schemeClr w14:val="tx1"/>
                  </w14:solidFill>
                </w14:textFill>
              </w:rPr>
              <w:t>2</w:t>
            </w: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continue"/>
            <w:shd w:val="clear" w:color="auto" w:fill="auto"/>
            <w:vAlign w:val="center"/>
          </w:tcPr>
          <w:p>
            <w:pPr>
              <w:pStyle w:val="58"/>
              <w:rPr>
                <w:color w:val="000000" w:themeColor="text1"/>
                <w:sz w:val="21"/>
                <w:szCs w:val="21"/>
                <w14:textFill>
                  <w14:solidFill>
                    <w14:schemeClr w14:val="tx1"/>
                  </w14:solidFill>
                </w14:textFill>
              </w:rPr>
            </w:pP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Q≥100（Q</w:t>
            </w:r>
            <w:r>
              <w:rPr>
                <w:color w:val="000000" w:themeColor="text1"/>
                <w:sz w:val="21"/>
                <w:szCs w:val="21"/>
                <w:vertAlign w:val="subscript"/>
                <w14:textFill>
                  <w14:solidFill>
                    <w14:schemeClr w14:val="tx1"/>
                  </w14:solidFill>
                </w14:textFill>
              </w:rPr>
              <w:t>3</w:t>
            </w: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restart"/>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类型3（E3）</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1≤Q＜10（Q</w:t>
            </w:r>
            <w:r>
              <w:rPr>
                <w:color w:val="000000" w:themeColor="text1"/>
                <w:sz w:val="21"/>
                <w:szCs w:val="21"/>
                <w:vertAlign w:val="subscript"/>
                <w14:textFill>
                  <w14:solidFill>
                    <w14:schemeClr w14:val="tx1"/>
                  </w14:solidFill>
                </w14:textFill>
              </w:rPr>
              <w:t>1</w:t>
            </w: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一般</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一般</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continue"/>
            <w:shd w:val="clear" w:color="auto" w:fill="auto"/>
            <w:vAlign w:val="center"/>
          </w:tcPr>
          <w:p>
            <w:pPr>
              <w:pStyle w:val="58"/>
              <w:rPr>
                <w:color w:val="000000" w:themeColor="text1"/>
                <w:sz w:val="21"/>
                <w:szCs w:val="21"/>
                <w14:textFill>
                  <w14:solidFill>
                    <w14:schemeClr w14:val="tx1"/>
                  </w14:solidFill>
                </w14:textFill>
              </w:rPr>
            </w:pP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10≤Q＜100（Q</w:t>
            </w:r>
            <w:r>
              <w:rPr>
                <w:color w:val="000000" w:themeColor="text1"/>
                <w:sz w:val="21"/>
                <w:szCs w:val="21"/>
                <w:vertAlign w:val="subscript"/>
                <w14:textFill>
                  <w14:solidFill>
                    <w14:schemeClr w14:val="tx1"/>
                  </w14:solidFill>
                </w14:textFill>
              </w:rPr>
              <w:t>2</w:t>
            </w: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一般</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r>
      <w:tr>
        <w:tblPrEx>
          <w:tblBorders>
            <w:top w:val="single" w:color="auto" w:sz="8" w:space="0"/>
            <w:left w:val="single" w:color="auto" w:sz="8" w:space="0"/>
            <w:bottom w:val="single" w:color="auto" w:sz="8" w:space="0"/>
            <w:right w:val="single" w:color="auto" w:sz="8" w:space="0"/>
            <w:insideH w:val="single" w:color="000000" w:sz="4" w:space="0"/>
            <w:insideV w:val="single" w:color="000000" w:sz="4" w:space="0"/>
          </w:tblBorders>
          <w:tblCellMar>
            <w:top w:w="0" w:type="dxa"/>
            <w:left w:w="108" w:type="dxa"/>
            <w:bottom w:w="0" w:type="dxa"/>
            <w:right w:w="108" w:type="dxa"/>
          </w:tblCellMar>
        </w:tblPrEx>
        <w:trPr>
          <w:jc w:val="center"/>
        </w:trPr>
        <w:tc>
          <w:tcPr>
            <w:tcW w:w="0" w:type="auto"/>
            <w:vMerge w:val="continue"/>
            <w:shd w:val="clear" w:color="auto" w:fill="auto"/>
            <w:vAlign w:val="center"/>
          </w:tcPr>
          <w:p>
            <w:pPr>
              <w:pStyle w:val="58"/>
              <w:rPr>
                <w:color w:val="000000" w:themeColor="text1"/>
                <w:sz w:val="21"/>
                <w:szCs w:val="21"/>
                <w14:textFill>
                  <w14:solidFill>
                    <w14:schemeClr w14:val="tx1"/>
                  </w14:solidFill>
                </w14:textFill>
              </w:rPr>
            </w:pP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Q≥100（Q</w:t>
            </w:r>
            <w:r>
              <w:rPr>
                <w:color w:val="000000" w:themeColor="text1"/>
                <w:sz w:val="21"/>
                <w:szCs w:val="21"/>
                <w:vertAlign w:val="subscript"/>
                <w14:textFill>
                  <w14:solidFill>
                    <w14:schemeClr w14:val="tx1"/>
                  </w14:solidFill>
                </w14:textFill>
              </w:rPr>
              <w:t>3</w:t>
            </w:r>
            <w:r>
              <w:rPr>
                <w:color w:val="000000" w:themeColor="text1"/>
                <w:sz w:val="21"/>
                <w:szCs w:val="21"/>
                <w14:textFill>
                  <w14:solidFill>
                    <w14:schemeClr w14:val="tx1"/>
                  </w14:solidFill>
                </w14:textFill>
              </w:rPr>
              <w:t>）</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较大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c>
          <w:tcPr>
            <w:tcW w:w="0" w:type="auto"/>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重大</w:t>
            </w:r>
          </w:p>
        </w:tc>
      </w:tr>
    </w:tbl>
    <w:p>
      <w:pPr>
        <w:ind w:firstLine="560"/>
        <w:rPr>
          <w:color w:val="000000" w:themeColor="text1"/>
          <w:highlight w:val="yellow"/>
          <w14:textFill>
            <w14:solidFill>
              <w14:schemeClr w14:val="tx1"/>
            </w14:solidFill>
          </w14:textFill>
        </w:rPr>
      </w:pPr>
      <w:r>
        <w:rPr>
          <w:color w:val="000000" w:themeColor="text1"/>
          <w14:textFill>
            <w14:solidFill>
              <w14:schemeClr w14:val="tx1"/>
            </w14:solidFill>
          </w14:textFill>
        </w:rPr>
        <w:t>本工程环境风险物质数量与临界值比值（Q）为0.</w:t>
      </w:r>
      <w:r>
        <w:rPr>
          <w:rFonts w:hint="eastAsia"/>
          <w:color w:val="000000" w:themeColor="text1"/>
          <w:lang w:val="en-US" w:eastAsia="zh-CN"/>
          <w14:textFill>
            <w14:solidFill>
              <w14:schemeClr w14:val="tx1"/>
            </w14:solidFill>
          </w14:textFill>
        </w:rPr>
        <w:t>374</w:t>
      </w:r>
      <w:r>
        <w:rPr>
          <w:color w:val="000000" w:themeColor="text1"/>
          <w14:textFill>
            <w14:solidFill>
              <w14:schemeClr w14:val="tx1"/>
            </w14:solidFill>
          </w14:textFill>
        </w:rPr>
        <w:t>，为Q</w:t>
      </w:r>
      <w:r>
        <w:rPr>
          <w:color w:val="000000" w:themeColor="text1"/>
          <w:vertAlign w:val="subscript"/>
          <w14:textFill>
            <w14:solidFill>
              <w14:schemeClr w14:val="tx1"/>
            </w14:solidFill>
          </w14:textFill>
        </w:rPr>
        <w:t>0</w:t>
      </w:r>
      <w:r>
        <w:rPr>
          <w:color w:val="000000" w:themeColor="text1"/>
          <w14:textFill>
            <w14:solidFill>
              <w14:schemeClr w14:val="tx1"/>
            </w14:solidFill>
          </w14:textFill>
        </w:rPr>
        <w:t>级，</w:t>
      </w:r>
      <w:r>
        <w:rPr>
          <w:color w:val="auto"/>
        </w:rPr>
        <w:t>本项目企业突发</w:t>
      </w:r>
      <w:r>
        <w:rPr>
          <w:rFonts w:hint="eastAsia"/>
          <w:color w:val="auto"/>
          <w:lang w:eastAsia="zh-CN"/>
        </w:rPr>
        <w:t>大气</w:t>
      </w:r>
      <w:r>
        <w:rPr>
          <w:color w:val="auto"/>
        </w:rPr>
        <w:t>环境事件风险等级为</w:t>
      </w:r>
      <w:r>
        <w:rPr>
          <w:rFonts w:hint="eastAsia"/>
          <w:color w:val="auto"/>
          <w:lang w:eastAsia="zh-CN"/>
        </w:rPr>
        <w:t>一般</w:t>
      </w:r>
      <w:r>
        <w:rPr>
          <w:color w:val="auto"/>
        </w:rPr>
        <w:t>。</w:t>
      </w:r>
    </w:p>
    <w:p>
      <w:pPr>
        <w:pStyle w:val="10"/>
        <w:ind w:firstLine="321"/>
        <w:rPr>
          <w:color w:val="000000" w:themeColor="text1"/>
          <w14:textFill>
            <w14:solidFill>
              <w14:schemeClr w14:val="tx1"/>
            </w14:solidFill>
          </w14:textFill>
        </w:rPr>
      </w:pPr>
      <w:bookmarkStart w:id="187" w:name="_Toc47541616"/>
      <w:bookmarkEnd w:id="187"/>
      <w:bookmarkStart w:id="188" w:name="_Toc80973321"/>
      <w:bookmarkStart w:id="189" w:name="_Toc69739763"/>
      <w:r>
        <w:rPr>
          <w:color w:val="000000" w:themeColor="text1"/>
          <w14:textFill>
            <w14:solidFill>
              <w14:schemeClr w14:val="tx1"/>
            </w14:solidFill>
          </w14:textFill>
        </w:rPr>
        <w:t>7.3 突发水环境事件风险分级</w:t>
      </w:r>
      <w:bookmarkEnd w:id="188"/>
      <w:bookmarkEnd w:id="189"/>
    </w:p>
    <w:p>
      <w:pPr>
        <w:pStyle w:val="11"/>
        <w:ind w:firstLine="562"/>
        <w:rPr>
          <w:rFonts w:eastAsia="仿宋"/>
          <w:color w:val="000000" w:themeColor="text1"/>
          <w14:textFill>
            <w14:solidFill>
              <w14:schemeClr w14:val="tx1"/>
            </w14:solidFill>
          </w14:textFill>
        </w:rPr>
      </w:pPr>
      <w:bookmarkStart w:id="190" w:name="_Toc69739764"/>
      <w:r>
        <w:rPr>
          <w:rFonts w:eastAsia="仿宋"/>
          <w:color w:val="000000" w:themeColor="text1"/>
          <w14:textFill>
            <w14:solidFill>
              <w14:schemeClr w14:val="tx1"/>
            </w14:solidFill>
          </w14:textFill>
        </w:rPr>
        <w:t>7.3.1 涉水风险物质数量与临界量比值（Q）</w:t>
      </w:r>
      <w:bookmarkEnd w:id="190"/>
    </w:p>
    <w:p>
      <w:pPr>
        <w:ind w:firstLine="560"/>
        <w:rPr>
          <w:color w:val="000000" w:themeColor="text1"/>
          <w14:textFill>
            <w14:solidFill>
              <w14:schemeClr w14:val="tx1"/>
            </w14:solidFill>
          </w14:textFill>
        </w:rPr>
      </w:pPr>
      <w:r>
        <w:rPr>
          <w:color w:val="000000" w:themeColor="text1"/>
          <w14:textFill>
            <w14:solidFill>
              <w14:schemeClr w14:val="tx1"/>
            </w14:solidFill>
          </w14:textFill>
        </w:rPr>
        <w:t>判断企业生产原料、产品、中间产品、副产品、催化剂、辅助生产物料、“三废”污染物等是否涉及水环境风险物质，计算涉水风险物质（混合或稀释的风险物质按其组分比例折算成纯物质）与其临界量的比值Q：</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（1）当企业只涉及一种风险物质时，该物质的数量与其临界量比值Q：</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（2）当企业存在多种风险物质时，则按下式计算：</w:t>
      </w:r>
    </w:p>
    <w:p>
      <w:pPr>
        <w:ind w:firstLine="560"/>
        <w:jc w:val="center"/>
        <w:rPr>
          <w:color w:val="000000" w:themeColor="text1"/>
          <w14:textFill>
            <w14:solidFill>
              <w14:schemeClr w14:val="tx1"/>
            </w14:solidFill>
          </w14:textFill>
        </w:rPr>
      </w:pPr>
      <m:oMathPara>
        <m:oMath>
          <m:r>
            <m:rPr/>
            <w:rPr>
              <w:rFonts w:ascii="Cambria Math" w:hAnsi="Cambria Math"/>
              <w:color w:val="000000" w:themeColor="text1"/>
              <w14:textFill>
                <w14:solidFill>
                  <w14:schemeClr w14:val="tx1"/>
                </w14:solidFill>
              </w14:textFill>
            </w:rPr>
            <m:t>Q=</m:t>
          </m:r>
          <m:f>
            <m:fPr>
              <m:ctrlPr>
                <w:rPr>
                  <w:rFonts w:ascii="Cambria Math" w:hAnsi="Cambria Math"/>
                  <w:i/>
                  <w:color w:val="000000" w:themeColor="text1"/>
                  <w14:textFill>
                    <w14:solidFill>
                      <w14:schemeClr w14:val="tx1"/>
                    </w14:solidFill>
                  </w14:textFill>
                </w:rPr>
              </m:ctrlPr>
            </m:fPr>
            <m:num>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q</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1</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num>
            <m:den>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Q</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1</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q</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num>
            <m:den>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Q</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2</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r>
            <m:rPr/>
            <w:rPr>
              <w:rFonts w:ascii="Cambria Math" w:hAnsi="Cambria Math"/>
              <w:color w:val="000000" w:themeColor="text1"/>
              <w14:textFill>
                <w14:solidFill>
                  <w14:schemeClr w14:val="tx1"/>
                </w14:solidFill>
              </w14:textFill>
            </w:rPr>
            <m:t>+⋯</m:t>
          </m:r>
          <m:f>
            <m:fPr>
              <m:ctrlPr>
                <w:rPr>
                  <w:rFonts w:ascii="Cambria Math" w:hAnsi="Cambria Math"/>
                  <w:i/>
                  <w:color w:val="000000" w:themeColor="text1"/>
                  <w14:textFill>
                    <w14:solidFill>
                      <w14:schemeClr w14:val="tx1"/>
                    </w14:solidFill>
                  </w14:textFill>
                </w:rPr>
              </m:ctrlPr>
            </m:fPr>
            <m:num>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q</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n</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num>
            <m:den>
              <m:sSub>
                <m:sSubPr>
                  <m:ctrlPr>
                    <w:rPr>
                      <w:rFonts w:ascii="Cambria Math" w:hAnsi="Cambria Math"/>
                      <w:i/>
                      <w:color w:val="000000" w:themeColor="text1"/>
                      <w14:textFill>
                        <w14:solidFill>
                          <w14:schemeClr w14:val="tx1"/>
                        </w14:solidFill>
                      </w14:textFill>
                    </w:rPr>
                  </m:ctrlPr>
                </m:sSubPr>
                <m:e>
                  <m:r>
                    <m:rPr/>
                    <w:rPr>
                      <w:rFonts w:ascii="Cambria Math" w:hAnsi="Cambria Math"/>
                      <w:color w:val="000000" w:themeColor="text1"/>
                      <w14:textFill>
                        <w14:solidFill>
                          <w14:schemeClr w14:val="tx1"/>
                        </w14:solidFill>
                      </w14:textFill>
                    </w:rPr>
                    <m:t>Q</m:t>
                  </m:r>
                  <m:ctrlPr>
                    <w:rPr>
                      <w:rFonts w:ascii="Cambria Math" w:hAnsi="Cambria Math"/>
                      <w:i/>
                      <w:color w:val="000000" w:themeColor="text1"/>
                      <w14:textFill>
                        <w14:solidFill>
                          <w14:schemeClr w14:val="tx1"/>
                        </w14:solidFill>
                      </w14:textFill>
                    </w:rPr>
                  </m:ctrlPr>
                </m:e>
                <m:sub>
                  <m:r>
                    <m:rPr/>
                    <w:rPr>
                      <w:rFonts w:ascii="Cambria Math" w:hAnsi="Cambria Math"/>
                      <w:color w:val="000000" w:themeColor="text1"/>
                      <w14:textFill>
                        <w14:solidFill>
                          <w14:schemeClr w14:val="tx1"/>
                        </w14:solidFill>
                      </w14:textFill>
                    </w:rPr>
                    <m:t>n</m:t>
                  </m:r>
                  <m:ctrlPr>
                    <w:rPr>
                      <w:rFonts w:ascii="Cambria Math" w:hAnsi="Cambria Math"/>
                      <w:i/>
                      <w:color w:val="000000" w:themeColor="text1"/>
                      <w14:textFill>
                        <w14:solidFill>
                          <w14:schemeClr w14:val="tx1"/>
                        </w14:solidFill>
                      </w14:textFill>
                    </w:rPr>
                  </m:ctrlPr>
                </m:sub>
              </m:sSub>
              <m:ctrlPr>
                <w:rPr>
                  <w:rFonts w:ascii="Cambria Math" w:hAnsi="Cambria Math"/>
                  <w:i/>
                  <w:color w:val="000000" w:themeColor="text1"/>
                  <w14:textFill>
                    <w14:solidFill>
                      <w14:schemeClr w14:val="tx1"/>
                    </w14:solidFill>
                  </w14:textFill>
                </w:rPr>
              </m:ctrlPr>
            </m:den>
          </m:f>
        </m:oMath>
      </m:oMathPara>
    </w:p>
    <w:p>
      <w:pPr>
        <w:ind w:firstLine="560"/>
        <w:rPr>
          <w:color w:val="000000" w:themeColor="text1"/>
          <w14:textFill>
            <w14:solidFill>
              <w14:schemeClr w14:val="tx1"/>
            </w14:solidFill>
          </w14:textFill>
        </w:rPr>
      </w:pPr>
      <w:r>
        <w:rPr>
          <w:color w:val="000000" w:themeColor="text1"/>
          <w14:textFill>
            <w14:solidFill>
              <w14:schemeClr w14:val="tx1"/>
            </w14:solidFill>
          </w14:textFill>
        </w:rPr>
        <w:t>式中：</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q</w:t>
      </w:r>
      <w:r>
        <w:rPr>
          <w:color w:val="000000" w:themeColor="text1"/>
          <w:vertAlign w:val="subscript"/>
          <w14:textFill>
            <w14:solidFill>
              <w14:schemeClr w14:val="tx1"/>
            </w14:solidFill>
          </w14:textFill>
        </w:rPr>
        <w:t>1</w:t>
      </w:r>
      <w:r>
        <w:rPr>
          <w:color w:val="000000" w:themeColor="text1"/>
          <w14:textFill>
            <w14:solidFill>
              <w14:schemeClr w14:val="tx1"/>
            </w14:solidFill>
          </w14:textFill>
        </w:rPr>
        <w:t>，q</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，…，q</w:t>
      </w:r>
      <w:r>
        <w:rPr>
          <w:color w:val="000000" w:themeColor="text1"/>
          <w:vertAlign w:val="subscript"/>
          <w14:textFill>
            <w14:solidFill>
              <w14:schemeClr w14:val="tx1"/>
            </w14:solidFill>
          </w14:textFill>
        </w:rPr>
        <w:t>n</w:t>
      </w:r>
      <w:r>
        <w:rPr>
          <w:color w:val="000000" w:themeColor="text1"/>
          <w14:textFill>
            <w14:solidFill>
              <w14:schemeClr w14:val="tx1"/>
            </w14:solidFill>
          </w14:textFill>
        </w:rPr>
        <w:t>--每种风险物质的最大存在量，t；</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Q</w:t>
      </w:r>
      <w:r>
        <w:rPr>
          <w:color w:val="000000" w:themeColor="text1"/>
          <w:vertAlign w:val="subscript"/>
          <w14:textFill>
            <w14:solidFill>
              <w14:schemeClr w14:val="tx1"/>
            </w14:solidFill>
          </w14:textFill>
        </w:rPr>
        <w:t>1</w:t>
      </w:r>
      <w:r>
        <w:rPr>
          <w:color w:val="000000" w:themeColor="text1"/>
          <w14:textFill>
            <w14:solidFill>
              <w14:schemeClr w14:val="tx1"/>
            </w14:solidFill>
          </w14:textFill>
        </w:rPr>
        <w:t>，Q</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，…，Q</w:t>
      </w:r>
      <w:r>
        <w:rPr>
          <w:color w:val="000000" w:themeColor="text1"/>
          <w:vertAlign w:val="subscript"/>
          <w14:textFill>
            <w14:solidFill>
              <w14:schemeClr w14:val="tx1"/>
            </w14:solidFill>
          </w14:textFill>
        </w:rPr>
        <w:t>n</w:t>
      </w:r>
      <w:r>
        <w:rPr>
          <w:color w:val="000000" w:themeColor="text1"/>
          <w14:textFill>
            <w14:solidFill>
              <w14:schemeClr w14:val="tx1"/>
            </w14:solidFill>
          </w14:textFill>
        </w:rPr>
        <w:t>——每种风险物质的临界量，t。</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按照数值大小，将Q划分为4个水平：</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（1）Q＜1，以Q</w:t>
      </w:r>
      <w:r>
        <w:rPr>
          <w:color w:val="000000" w:themeColor="text1"/>
          <w:vertAlign w:val="subscript"/>
          <w14:textFill>
            <w14:solidFill>
              <w14:schemeClr w14:val="tx1"/>
            </w14:solidFill>
          </w14:textFill>
        </w:rPr>
        <w:t>0</w:t>
      </w:r>
      <w:r>
        <w:rPr>
          <w:color w:val="000000" w:themeColor="text1"/>
          <w14:textFill>
            <w14:solidFill>
              <w14:schemeClr w14:val="tx1"/>
            </w14:solidFill>
          </w14:textFill>
        </w:rPr>
        <w:t>表示，企业直接评为一般环境风险等级；</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（2）1≤Q＜10，以Q</w:t>
      </w:r>
      <w:r>
        <w:rPr>
          <w:color w:val="000000" w:themeColor="text1"/>
          <w:vertAlign w:val="subscript"/>
          <w14:textFill>
            <w14:solidFill>
              <w14:schemeClr w14:val="tx1"/>
            </w14:solidFill>
          </w14:textFill>
        </w:rPr>
        <w:t>1</w:t>
      </w:r>
      <w:r>
        <w:rPr>
          <w:color w:val="000000" w:themeColor="text1"/>
          <w14:textFill>
            <w14:solidFill>
              <w14:schemeClr w14:val="tx1"/>
            </w14:solidFill>
          </w14:textFill>
        </w:rPr>
        <w:t>表示；</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（3）10≤Q＜100，以Q</w:t>
      </w:r>
      <w:r>
        <w:rPr>
          <w:color w:val="000000" w:themeColor="text1"/>
          <w:vertAlign w:val="subscript"/>
          <w14:textFill>
            <w14:solidFill>
              <w14:schemeClr w14:val="tx1"/>
            </w14:solidFill>
          </w14:textFill>
        </w:rPr>
        <w:t>2</w:t>
      </w:r>
      <w:r>
        <w:rPr>
          <w:color w:val="000000" w:themeColor="text1"/>
          <w14:textFill>
            <w14:solidFill>
              <w14:schemeClr w14:val="tx1"/>
            </w14:solidFill>
          </w14:textFill>
        </w:rPr>
        <w:t>表示；</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（4）Q≥100，以Q</w:t>
      </w:r>
      <w:r>
        <w:rPr>
          <w:color w:val="000000" w:themeColor="text1"/>
          <w:vertAlign w:val="subscript"/>
          <w14:textFill>
            <w14:solidFill>
              <w14:schemeClr w14:val="tx1"/>
            </w14:solidFill>
          </w14:textFill>
        </w:rPr>
        <w:t>3</w:t>
      </w:r>
      <w:r>
        <w:rPr>
          <w:color w:val="000000" w:themeColor="text1"/>
          <w14:textFill>
            <w14:solidFill>
              <w14:schemeClr w14:val="tx1"/>
            </w14:solidFill>
          </w14:textFill>
        </w:rPr>
        <w:t>表示。</w:t>
      </w:r>
    </w:p>
    <w:p>
      <w:pPr>
        <w:ind w:firstLine="560"/>
        <w:rPr>
          <w:color w:val="000000" w:themeColor="text1"/>
          <w14:textFill>
            <w14:solidFill>
              <w14:schemeClr w14:val="tx1"/>
            </w14:solidFill>
          </w14:textFill>
        </w:rPr>
      </w:pPr>
      <w:r>
        <w:rPr>
          <w:color w:val="000000" w:themeColor="text1"/>
          <w14:textFill>
            <w14:solidFill>
              <w14:schemeClr w14:val="tx1"/>
            </w14:solidFill>
          </w14:textFill>
        </w:rPr>
        <w:t>本工程作为一个道路工程，其本身并不使用或者存储危险化学品物质，</w:t>
      </w:r>
      <w:r>
        <w:rPr>
          <w:rFonts w:hint="eastAsia"/>
          <w:color w:val="000000" w:themeColor="text1"/>
          <w14:textFill>
            <w14:solidFill>
              <w14:schemeClr w14:val="tx1"/>
            </w14:solidFill>
          </w14:textFill>
        </w:rPr>
        <w:t>根据项目实际统计交通量，其中危化品运输车占也比较低。</w:t>
      </w:r>
      <w:r>
        <w:rPr>
          <w:color w:val="000000" w:themeColor="text1"/>
          <w14:textFill>
            <w14:solidFill>
              <w14:schemeClr w14:val="tx1"/>
            </w14:solidFill>
          </w14:textFill>
        </w:rPr>
        <w:t>通过本道路的危险化学品运输车辆可看作是一个危险品储存库，因此，本公路的Q值主要依据危险化学品运输车辆的最大运载量来进行计算。</w:t>
      </w:r>
    </w:p>
    <w:p>
      <w:pPr>
        <w:pStyle w:val="55"/>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表7-7  涉水环境风险物质筛选</w:t>
      </w:r>
    </w:p>
    <w:tbl>
      <w:tblPr>
        <w:tblStyle w:val="22"/>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3052"/>
        <w:gridCol w:w="1599"/>
        <w:gridCol w:w="1147"/>
        <w:gridCol w:w="272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c>
          <w:tcPr>
            <w:tcW w:w="179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企业风险物质名称</w:t>
            </w:r>
          </w:p>
        </w:tc>
        <w:tc>
          <w:tcPr>
            <w:tcW w:w="938" w:type="pct"/>
            <w:tcBorders>
              <w:top w:val="single" w:color="000000" w:sz="4"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最大存储/使用量（t）</w:t>
            </w:r>
          </w:p>
        </w:tc>
        <w:tc>
          <w:tcPr>
            <w:tcW w:w="673" w:type="pct"/>
            <w:tcBorders>
              <w:top w:val="single" w:color="000000" w:sz="4"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临界量（t）</w:t>
            </w:r>
          </w:p>
        </w:tc>
        <w:tc>
          <w:tcPr>
            <w:tcW w:w="1598" w:type="pct"/>
            <w:tcBorders>
              <w:top w:val="single" w:color="000000" w:sz="4"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物质数量与临界量比值</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c>
          <w:tcPr>
            <w:tcW w:w="179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汽油</w:t>
            </w:r>
          </w:p>
        </w:tc>
        <w:tc>
          <w:tcPr>
            <w:tcW w:w="938" w:type="pct"/>
            <w:tcBorders>
              <w:top w:val="single" w:color="000000" w:sz="4"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w:t>
            </w:r>
            <w:r>
              <w:rPr>
                <w:color w:val="000000" w:themeColor="text1"/>
                <w:sz w:val="21"/>
                <w:szCs w:val="21"/>
                <w14:textFill>
                  <w14:solidFill>
                    <w14:schemeClr w14:val="tx1"/>
                  </w14:solidFill>
                </w14:textFill>
              </w:rPr>
              <w:t>0</w:t>
            </w:r>
          </w:p>
        </w:tc>
        <w:tc>
          <w:tcPr>
            <w:tcW w:w="673" w:type="pct"/>
            <w:tcBorders>
              <w:top w:val="single" w:color="000000" w:sz="4"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2500</w:t>
            </w:r>
          </w:p>
        </w:tc>
        <w:tc>
          <w:tcPr>
            <w:tcW w:w="1598" w:type="pct"/>
            <w:tcBorders>
              <w:top w:val="single" w:color="000000" w:sz="4" w:space="0"/>
              <w:left w:val="nil"/>
              <w:bottom w:val="single" w:color="000000" w:sz="4" w:space="0"/>
              <w:right w:val="single" w:color="000000" w:sz="4" w:space="0"/>
            </w:tcBorders>
            <w:shd w:val="clear" w:color="auto" w:fill="auto"/>
            <w:vAlign w:val="center"/>
          </w:tcPr>
          <w:p>
            <w:pPr>
              <w:pStyle w:val="58"/>
              <w:rPr>
                <w:rFonts w:hint="default" w:eastAsia="仿宋"/>
                <w:color w:val="000000" w:themeColor="text1"/>
                <w:sz w:val="21"/>
                <w:szCs w:val="21"/>
                <w:lang w:val="en-US" w:eastAsia="zh-CN"/>
                <w14:textFill>
                  <w14:solidFill>
                    <w14:schemeClr w14:val="tx1"/>
                  </w14:solidFill>
                </w14:textFill>
              </w:rPr>
            </w:pPr>
            <w:r>
              <w:rPr>
                <w:color w:val="000000" w:themeColor="text1"/>
                <w:sz w:val="21"/>
                <w:szCs w:val="21"/>
                <w14:textFill>
                  <w14:solidFill>
                    <w14:schemeClr w14:val="tx1"/>
                  </w14:solidFill>
                </w14:textFill>
              </w:rPr>
              <w:t>0.0</w:t>
            </w:r>
            <w:r>
              <w:rPr>
                <w:rFonts w:hint="eastAsia"/>
                <w:color w:val="000000" w:themeColor="text1"/>
                <w:sz w:val="21"/>
                <w:szCs w:val="21"/>
                <w:lang w:val="en-US" w:eastAsia="zh-CN"/>
                <w14:textFill>
                  <w14:solidFill>
                    <w14:schemeClr w14:val="tx1"/>
                  </w14:solidFill>
                </w14:textFill>
              </w:rPr>
              <w:t>12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79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柴油</w:t>
            </w:r>
          </w:p>
        </w:tc>
        <w:tc>
          <w:tcPr>
            <w:tcW w:w="938" w:type="pct"/>
            <w:tcBorders>
              <w:top w:val="single" w:color="000000" w:sz="4"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rFonts w:hint="eastAsia"/>
                <w:color w:val="000000" w:themeColor="text1"/>
                <w:sz w:val="21"/>
                <w:szCs w:val="21"/>
                <w:lang w:val="en-US" w:eastAsia="zh-CN"/>
                <w14:textFill>
                  <w14:solidFill>
                    <w14:schemeClr w14:val="tx1"/>
                  </w14:solidFill>
                </w14:textFill>
              </w:rPr>
              <w:t>3</w:t>
            </w:r>
            <w:r>
              <w:rPr>
                <w:color w:val="000000" w:themeColor="text1"/>
                <w:sz w:val="21"/>
                <w:szCs w:val="21"/>
                <w14:textFill>
                  <w14:solidFill>
                    <w14:schemeClr w14:val="tx1"/>
                  </w14:solidFill>
                </w14:textFill>
              </w:rPr>
              <w:t>0</w:t>
            </w:r>
          </w:p>
        </w:tc>
        <w:tc>
          <w:tcPr>
            <w:tcW w:w="673" w:type="pct"/>
            <w:tcBorders>
              <w:top w:val="single" w:color="000000" w:sz="4" w:space="0"/>
              <w:left w:val="nil"/>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2500</w:t>
            </w:r>
          </w:p>
        </w:tc>
        <w:tc>
          <w:tcPr>
            <w:tcW w:w="1598" w:type="pct"/>
            <w:tcBorders>
              <w:top w:val="single" w:color="000000" w:sz="4" w:space="0"/>
              <w:left w:val="nil"/>
              <w:bottom w:val="single" w:color="000000" w:sz="4" w:space="0"/>
              <w:right w:val="single" w:color="000000" w:sz="4" w:space="0"/>
            </w:tcBorders>
            <w:shd w:val="clear" w:color="auto" w:fill="auto"/>
            <w:vAlign w:val="center"/>
          </w:tcPr>
          <w:p>
            <w:pPr>
              <w:pStyle w:val="58"/>
              <w:rPr>
                <w:rFonts w:hint="default" w:eastAsia="仿宋"/>
                <w:color w:val="000000" w:themeColor="text1"/>
                <w:sz w:val="21"/>
                <w:szCs w:val="21"/>
                <w:lang w:val="en-US" w:eastAsia="zh-CN"/>
                <w14:textFill>
                  <w14:solidFill>
                    <w14:schemeClr w14:val="tx1"/>
                  </w14:solidFill>
                </w14:textFill>
              </w:rPr>
            </w:pPr>
            <w:r>
              <w:rPr>
                <w:color w:val="000000" w:themeColor="text1"/>
                <w:sz w:val="21"/>
                <w:szCs w:val="21"/>
                <w14:textFill>
                  <w14:solidFill>
                    <w14:schemeClr w14:val="tx1"/>
                  </w14:solidFill>
                </w14:textFill>
              </w:rPr>
              <w:t>0.0</w:t>
            </w:r>
            <w:r>
              <w:rPr>
                <w:rFonts w:hint="eastAsia"/>
                <w:color w:val="000000" w:themeColor="text1"/>
                <w:sz w:val="21"/>
                <w:szCs w:val="21"/>
                <w:lang w:val="en-US" w:eastAsia="zh-CN"/>
                <w14:textFill>
                  <w14:solidFill>
                    <w14:schemeClr w14:val="tx1"/>
                  </w14:solidFill>
                </w14:textFill>
              </w:rPr>
              <w:t>12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402"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pStyle w:val="58"/>
              <w:rPr>
                <w:color w:val="000000" w:themeColor="text1"/>
                <w:sz w:val="21"/>
                <w:szCs w:val="21"/>
                <w14:textFill>
                  <w14:solidFill>
                    <w14:schemeClr w14:val="tx1"/>
                  </w14:solidFill>
                </w14:textFill>
              </w:rPr>
            </w:pPr>
            <w:r>
              <w:rPr>
                <w:color w:val="000000" w:themeColor="text1"/>
                <w:sz w:val="21"/>
                <w:szCs w:val="21"/>
                <w14:textFill>
                  <w14:solidFill>
                    <w14:schemeClr w14:val="tx1"/>
                  </w14:solidFill>
                </w14:textFill>
              </w:rPr>
              <w:t>合计</w:t>
            </w:r>
          </w:p>
        </w:tc>
        <w:tc>
          <w:tcPr>
            <w:tcW w:w="1598" w:type="pct"/>
            <w:tcBorders>
              <w:top w:val="single" w:color="000000" w:sz="4" w:space="0"/>
              <w:left w:val="nil"/>
              <w:bottom w:val="single" w:color="000000" w:sz="4" w:space="0"/>
              <w:right w:val="single" w:color="000000" w:sz="4" w:space="0"/>
            </w:tcBorders>
            <w:shd w:val="clear" w:color="auto" w:fill="auto"/>
            <w:vAlign w:val="center"/>
          </w:tcPr>
          <w:p>
            <w:pPr>
              <w:pStyle w:val="58"/>
              <w:rPr>
                <w:rFonts w:hint="default" w:eastAsia="仿宋"/>
                <w:color w:val="000000" w:themeColor="text1"/>
                <w:sz w:val="21"/>
                <w:szCs w:val="21"/>
                <w:lang w:val="en-US" w:eastAsia="zh-CN"/>
                <w14:textFill>
                  <w14:solidFill>
                    <w14:schemeClr w14:val="tx1"/>
                  </w14:solidFill>
                </w14:textFill>
              </w:rPr>
            </w:pPr>
            <w:r>
              <w:rPr>
                <w:color w:val="000000" w:themeColor="text1"/>
                <w:sz w:val="21"/>
                <w:szCs w:val="21"/>
                <w14:textFill>
                  <w14:solidFill>
                    <w14:schemeClr w14:val="tx1"/>
                  </w14:solidFill>
                </w14:textFill>
              </w:rPr>
              <w:t>0.0</w:t>
            </w:r>
            <w:r>
              <w:rPr>
                <w:rFonts w:hint="eastAsia"/>
                <w:color w:val="000000" w:themeColor="text1"/>
                <w:sz w:val="21"/>
                <w:szCs w:val="21"/>
                <w:lang w:val="en-US" w:eastAsia="zh-CN"/>
                <w14:textFill>
                  <w14:solidFill>
                    <w14:schemeClr w14:val="tx1"/>
                  </w14:solidFill>
                </w14:textFill>
              </w:rPr>
              <w:t>24</w:t>
            </w:r>
          </w:p>
        </w:tc>
      </w:tr>
    </w:tbl>
    <w:p>
      <w:pPr>
        <w:ind w:firstLine="560"/>
        <w:rPr>
          <w:color w:val="000000" w:themeColor="text1"/>
          <w14:textFill>
            <w14:solidFill>
              <w14:schemeClr w14:val="tx1"/>
            </w14:solidFill>
          </w14:textFill>
        </w:rPr>
      </w:pPr>
      <w:r>
        <w:rPr>
          <w:color w:val="000000" w:themeColor="text1"/>
          <w14:textFill>
            <w14:solidFill>
              <w14:schemeClr w14:val="tx1"/>
            </w14:solidFill>
          </w14:textFill>
        </w:rPr>
        <w:t>由上表可知，本工程环境风险物质数量与临界值比值（Q）为0.0</w:t>
      </w:r>
      <w:r>
        <w:rPr>
          <w:rFonts w:hint="eastAsia"/>
          <w:color w:val="000000" w:themeColor="text1"/>
          <w:lang w:val="en-US" w:eastAsia="zh-CN"/>
          <w14:textFill>
            <w14:solidFill>
              <w14:schemeClr w14:val="tx1"/>
            </w14:solidFill>
          </w14:textFill>
        </w:rPr>
        <w:t>24</w:t>
      </w:r>
      <w:r>
        <w:rPr>
          <w:color w:val="000000" w:themeColor="text1"/>
          <w14:textFill>
            <w14:solidFill>
              <w14:schemeClr w14:val="tx1"/>
            </w14:solidFill>
          </w14:textFill>
        </w:rPr>
        <w:t>，为Q0级，故本项目企业突发水环境事件风险等级为一般环境风险等级。</w:t>
      </w:r>
    </w:p>
    <w:p>
      <w:pPr>
        <w:keepNext/>
        <w:keepLines/>
        <w:ind w:firstLine="0" w:firstLineChars="0"/>
        <w:outlineLvl w:val="2"/>
        <w:rPr>
          <w:b/>
          <w:bCs/>
          <w:color w:val="auto"/>
          <w:szCs w:val="28"/>
        </w:rPr>
      </w:pPr>
      <w:bookmarkStart w:id="191" w:name="_Toc47541617"/>
      <w:bookmarkEnd w:id="191"/>
      <w:r>
        <w:rPr>
          <w:b/>
          <w:bCs/>
          <w:color w:val="auto"/>
          <w:szCs w:val="28"/>
        </w:rPr>
        <w:t>7.3.2 生产工艺过程与水环境风险控制水平（M）评估</w:t>
      </w:r>
    </w:p>
    <w:p>
      <w:pPr>
        <w:pStyle w:val="71"/>
        <w:ind w:firstLine="560"/>
        <w:rPr>
          <w:color w:val="auto"/>
        </w:rPr>
      </w:pPr>
      <w:r>
        <w:rPr>
          <w:color w:val="auto"/>
        </w:rPr>
        <w:t>依据《企业突发环境事件风险分级方法》（HJ 941-2018）中表1、表2计算公路的生产工艺过程与水环境风险控制水平分值，具体内容如表7.3-2~7.3-4所示。</w:t>
      </w:r>
    </w:p>
    <w:p>
      <w:pPr>
        <w:pStyle w:val="55"/>
        <w:rPr>
          <w:color w:val="auto"/>
          <w:sz w:val="21"/>
          <w:szCs w:val="21"/>
        </w:rPr>
      </w:pPr>
      <w:r>
        <w:rPr>
          <w:color w:val="auto"/>
          <w:sz w:val="21"/>
          <w:szCs w:val="21"/>
        </w:rPr>
        <w:t>表7.3-2  生产工艺过程评估</w:t>
      </w:r>
    </w:p>
    <w:tbl>
      <w:tblPr>
        <w:tblStyle w:val="72"/>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6215"/>
        <w:gridCol w:w="1453"/>
        <w:gridCol w:w="85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gridSpan w:val="3"/>
            <w:vAlign w:val="center"/>
          </w:tcPr>
          <w:p>
            <w:pPr>
              <w:pStyle w:val="56"/>
              <w:rPr>
                <w:color w:val="auto"/>
                <w:sz w:val="21"/>
                <w:szCs w:val="21"/>
              </w:rPr>
            </w:pPr>
            <w:r>
              <w:rPr>
                <w:color w:val="auto"/>
                <w:sz w:val="21"/>
                <w:szCs w:val="21"/>
              </w:rPr>
              <w:t>企业生产工艺过程评估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368" w:type="dxa"/>
            <w:vAlign w:val="center"/>
          </w:tcPr>
          <w:p>
            <w:pPr>
              <w:pStyle w:val="56"/>
              <w:rPr>
                <w:color w:val="auto"/>
                <w:sz w:val="21"/>
                <w:szCs w:val="21"/>
              </w:rPr>
            </w:pPr>
            <w:r>
              <w:rPr>
                <w:color w:val="auto"/>
                <w:sz w:val="21"/>
                <w:szCs w:val="21"/>
              </w:rPr>
              <w:t>评估依据</w:t>
            </w:r>
          </w:p>
        </w:tc>
        <w:tc>
          <w:tcPr>
            <w:tcW w:w="1282" w:type="dxa"/>
            <w:vAlign w:val="center"/>
          </w:tcPr>
          <w:p>
            <w:pPr>
              <w:pStyle w:val="56"/>
              <w:rPr>
                <w:color w:val="auto"/>
                <w:sz w:val="21"/>
                <w:szCs w:val="21"/>
              </w:rPr>
            </w:pPr>
            <w:r>
              <w:rPr>
                <w:color w:val="auto"/>
                <w:sz w:val="21"/>
                <w:szCs w:val="21"/>
              </w:rPr>
              <w:t>分值</w:t>
            </w:r>
          </w:p>
        </w:tc>
        <w:tc>
          <w:tcPr>
            <w:tcW w:w="652" w:type="dxa"/>
            <w:vAlign w:val="center"/>
          </w:tcPr>
          <w:p>
            <w:pPr>
              <w:pStyle w:val="56"/>
              <w:rPr>
                <w:color w:val="auto"/>
                <w:sz w:val="21"/>
                <w:szCs w:val="21"/>
              </w:rPr>
            </w:pPr>
            <w:r>
              <w:rPr>
                <w:color w:val="auto"/>
                <w:sz w:val="21"/>
                <w:szCs w:val="21"/>
              </w:rPr>
              <w:t>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368" w:type="dxa"/>
            <w:vAlign w:val="center"/>
          </w:tcPr>
          <w:p>
            <w:pPr>
              <w:pStyle w:val="56"/>
              <w:jc w:val="both"/>
              <w:rPr>
                <w:color w:val="auto"/>
                <w:sz w:val="21"/>
                <w:szCs w:val="21"/>
              </w:rPr>
            </w:pPr>
            <w:r>
              <w:rPr>
                <w:color w:val="auto"/>
                <w:sz w:val="21"/>
                <w:szCs w:val="21"/>
              </w:rPr>
              <w:t>涉及光气及光气化工艺、电解工艺（氯碱）、氯化工艺、硝化工艺、合成氨工艺、裂解（裂化）工艺、氟化工艺、加氢工艺、重氮化工艺、氧化工艺、过氧化工艺、胺基化工艺、磺化工艺、聚合工艺、烷基化工艺、新型煤化工工艺、电石生产工艺、偶氮化工艺</w:t>
            </w:r>
          </w:p>
        </w:tc>
        <w:tc>
          <w:tcPr>
            <w:tcW w:w="1282" w:type="dxa"/>
            <w:vAlign w:val="center"/>
          </w:tcPr>
          <w:p>
            <w:pPr>
              <w:pStyle w:val="56"/>
              <w:rPr>
                <w:color w:val="auto"/>
                <w:sz w:val="21"/>
                <w:szCs w:val="21"/>
              </w:rPr>
            </w:pPr>
            <w:r>
              <w:rPr>
                <w:color w:val="auto"/>
                <w:sz w:val="21"/>
                <w:szCs w:val="21"/>
              </w:rPr>
              <w:t>10/每套</w:t>
            </w:r>
          </w:p>
        </w:tc>
        <w:tc>
          <w:tcPr>
            <w:tcW w:w="652" w:type="dxa"/>
            <w:vAlign w:val="center"/>
          </w:tcPr>
          <w:p>
            <w:pPr>
              <w:pStyle w:val="56"/>
              <w:rPr>
                <w:color w:val="auto"/>
                <w:sz w:val="21"/>
                <w:szCs w:val="21"/>
              </w:rPr>
            </w:pPr>
            <w:r>
              <w:rPr>
                <w:color w:val="auto"/>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368" w:type="dxa"/>
            <w:vAlign w:val="center"/>
          </w:tcPr>
          <w:p>
            <w:pPr>
              <w:pStyle w:val="56"/>
              <w:rPr>
                <w:color w:val="auto"/>
                <w:sz w:val="21"/>
                <w:szCs w:val="21"/>
              </w:rPr>
            </w:pPr>
            <w:r>
              <w:rPr>
                <w:color w:val="auto"/>
                <w:sz w:val="21"/>
                <w:szCs w:val="21"/>
              </w:rPr>
              <w:t>其他高温或高压、涉及易燃易爆等物质的工艺过程a</w:t>
            </w:r>
          </w:p>
        </w:tc>
        <w:tc>
          <w:tcPr>
            <w:tcW w:w="1282" w:type="dxa"/>
            <w:vAlign w:val="center"/>
          </w:tcPr>
          <w:p>
            <w:pPr>
              <w:pStyle w:val="56"/>
              <w:rPr>
                <w:color w:val="auto"/>
                <w:sz w:val="21"/>
                <w:szCs w:val="21"/>
              </w:rPr>
            </w:pPr>
            <w:r>
              <w:rPr>
                <w:color w:val="auto"/>
                <w:sz w:val="21"/>
                <w:szCs w:val="21"/>
              </w:rPr>
              <w:t>5/每套</w:t>
            </w:r>
          </w:p>
        </w:tc>
        <w:tc>
          <w:tcPr>
            <w:tcW w:w="652" w:type="dxa"/>
            <w:vAlign w:val="center"/>
          </w:tcPr>
          <w:p>
            <w:pPr>
              <w:pStyle w:val="56"/>
              <w:rPr>
                <w:color w:val="auto"/>
                <w:sz w:val="21"/>
                <w:szCs w:val="21"/>
              </w:rPr>
            </w:pPr>
            <w:r>
              <w:rPr>
                <w:color w:val="auto"/>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368" w:type="dxa"/>
            <w:vAlign w:val="center"/>
          </w:tcPr>
          <w:p>
            <w:pPr>
              <w:pStyle w:val="56"/>
              <w:rPr>
                <w:color w:val="auto"/>
                <w:sz w:val="21"/>
                <w:szCs w:val="21"/>
              </w:rPr>
            </w:pPr>
            <w:r>
              <w:rPr>
                <w:color w:val="auto"/>
                <w:sz w:val="21"/>
                <w:szCs w:val="21"/>
              </w:rPr>
              <w:t>具有国家规定限期淘汰的工艺名录和设备b</w:t>
            </w:r>
          </w:p>
        </w:tc>
        <w:tc>
          <w:tcPr>
            <w:tcW w:w="1282" w:type="dxa"/>
            <w:vAlign w:val="center"/>
          </w:tcPr>
          <w:p>
            <w:pPr>
              <w:pStyle w:val="56"/>
              <w:rPr>
                <w:color w:val="auto"/>
                <w:sz w:val="21"/>
                <w:szCs w:val="21"/>
              </w:rPr>
            </w:pPr>
            <w:r>
              <w:rPr>
                <w:color w:val="auto"/>
                <w:sz w:val="21"/>
                <w:szCs w:val="21"/>
              </w:rPr>
              <w:t>5/每套</w:t>
            </w:r>
          </w:p>
        </w:tc>
        <w:tc>
          <w:tcPr>
            <w:tcW w:w="652" w:type="dxa"/>
            <w:vAlign w:val="center"/>
          </w:tcPr>
          <w:p>
            <w:pPr>
              <w:pStyle w:val="56"/>
              <w:rPr>
                <w:color w:val="auto"/>
                <w:sz w:val="21"/>
                <w:szCs w:val="21"/>
              </w:rPr>
            </w:pPr>
            <w:r>
              <w:rPr>
                <w:color w:val="auto"/>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6368" w:type="dxa"/>
            <w:vAlign w:val="center"/>
          </w:tcPr>
          <w:p>
            <w:pPr>
              <w:pStyle w:val="56"/>
              <w:rPr>
                <w:color w:val="auto"/>
                <w:sz w:val="21"/>
                <w:szCs w:val="21"/>
              </w:rPr>
            </w:pPr>
            <w:r>
              <w:rPr>
                <w:color w:val="auto"/>
                <w:sz w:val="21"/>
                <w:szCs w:val="21"/>
              </w:rPr>
              <w:t>不涉及以上危险工艺过程或国家规定的禁用工艺/设备</w:t>
            </w:r>
          </w:p>
        </w:tc>
        <w:tc>
          <w:tcPr>
            <w:tcW w:w="1282" w:type="dxa"/>
            <w:vAlign w:val="center"/>
          </w:tcPr>
          <w:p>
            <w:pPr>
              <w:pStyle w:val="56"/>
              <w:rPr>
                <w:color w:val="auto"/>
                <w:sz w:val="21"/>
                <w:szCs w:val="21"/>
              </w:rPr>
            </w:pPr>
            <w:r>
              <w:rPr>
                <w:color w:val="auto"/>
                <w:sz w:val="21"/>
                <w:szCs w:val="21"/>
              </w:rPr>
              <w:t>0</w:t>
            </w:r>
          </w:p>
        </w:tc>
        <w:tc>
          <w:tcPr>
            <w:tcW w:w="652" w:type="dxa"/>
            <w:vAlign w:val="center"/>
          </w:tcPr>
          <w:p>
            <w:pPr>
              <w:pStyle w:val="56"/>
              <w:rPr>
                <w:color w:val="auto"/>
                <w:sz w:val="21"/>
                <w:szCs w:val="21"/>
              </w:rPr>
            </w:pPr>
            <w:r>
              <w:rPr>
                <w:color w:val="auto"/>
                <w:sz w:val="21"/>
                <w:szCs w:val="21"/>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gridSpan w:val="3"/>
            <w:vAlign w:val="center"/>
          </w:tcPr>
          <w:p>
            <w:pPr>
              <w:pStyle w:val="56"/>
              <w:jc w:val="both"/>
              <w:rPr>
                <w:color w:val="auto"/>
                <w:sz w:val="21"/>
                <w:szCs w:val="21"/>
              </w:rPr>
            </w:pPr>
            <w:r>
              <w:rPr>
                <w:color w:val="auto"/>
                <w:sz w:val="21"/>
                <w:szCs w:val="21"/>
              </w:rPr>
              <w:t>注：a高温指工艺温度≥300℃，高压指压力容器的设计压力（p）≥10.0MPa，易燃易爆等物质是指按照GB30000.2至GB30000.13所确定的化学物质；b指《产业结构调整指导目录》中有淘汰期限的淘汰类落后生产工艺装备</w:t>
            </w:r>
          </w:p>
        </w:tc>
      </w:tr>
    </w:tbl>
    <w:p>
      <w:pPr>
        <w:pStyle w:val="73"/>
        <w:rPr>
          <w:color w:val="auto"/>
        </w:rPr>
      </w:pPr>
    </w:p>
    <w:p>
      <w:pPr>
        <w:pStyle w:val="55"/>
        <w:rPr>
          <w:color w:val="auto"/>
          <w:sz w:val="21"/>
          <w:szCs w:val="21"/>
        </w:rPr>
      </w:pPr>
      <w:r>
        <w:rPr>
          <w:color w:val="auto"/>
          <w:sz w:val="21"/>
          <w:szCs w:val="21"/>
        </w:rPr>
        <w:t>表7.3-3  企业水环境风险防控措施与突发水环境事件发生情况评估</w:t>
      </w:r>
    </w:p>
    <w:tbl>
      <w:tblPr>
        <w:tblStyle w:val="72"/>
        <w:tblW w:w="8512"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129"/>
        <w:gridCol w:w="6111"/>
        <w:gridCol w:w="636"/>
        <w:gridCol w:w="63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blHeader/>
        </w:trPr>
        <w:tc>
          <w:tcPr>
            <w:tcW w:w="1129" w:type="dxa"/>
            <w:vAlign w:val="center"/>
          </w:tcPr>
          <w:p>
            <w:pPr>
              <w:spacing w:line="240" w:lineRule="auto"/>
              <w:ind w:firstLine="0" w:firstLineChars="0"/>
              <w:jc w:val="center"/>
              <w:rPr>
                <w:color w:val="auto"/>
                <w:kern w:val="0"/>
                <w:sz w:val="21"/>
                <w:szCs w:val="21"/>
              </w:rPr>
            </w:pPr>
            <w:r>
              <w:rPr>
                <w:color w:val="auto"/>
                <w:kern w:val="0"/>
                <w:sz w:val="21"/>
                <w:szCs w:val="21"/>
              </w:rPr>
              <w:t>评估指标</w:t>
            </w:r>
          </w:p>
        </w:tc>
        <w:tc>
          <w:tcPr>
            <w:tcW w:w="6111" w:type="dxa"/>
            <w:vAlign w:val="center"/>
          </w:tcPr>
          <w:p>
            <w:pPr>
              <w:spacing w:line="240" w:lineRule="auto"/>
              <w:ind w:firstLine="0" w:firstLineChars="0"/>
              <w:jc w:val="center"/>
              <w:rPr>
                <w:color w:val="auto"/>
                <w:kern w:val="0"/>
                <w:sz w:val="21"/>
                <w:szCs w:val="21"/>
              </w:rPr>
            </w:pPr>
            <w:r>
              <w:rPr>
                <w:color w:val="auto"/>
                <w:kern w:val="0"/>
                <w:sz w:val="21"/>
                <w:szCs w:val="21"/>
              </w:rPr>
              <w:t>评估依据</w:t>
            </w:r>
          </w:p>
        </w:tc>
        <w:tc>
          <w:tcPr>
            <w:tcW w:w="0" w:type="auto"/>
            <w:vAlign w:val="center"/>
          </w:tcPr>
          <w:p>
            <w:pPr>
              <w:ind w:firstLine="0" w:firstLineChars="0"/>
              <w:jc w:val="center"/>
              <w:rPr>
                <w:color w:val="auto"/>
                <w:kern w:val="0"/>
                <w:sz w:val="21"/>
                <w:szCs w:val="21"/>
              </w:rPr>
            </w:pPr>
            <w:r>
              <w:rPr>
                <w:color w:val="auto"/>
                <w:kern w:val="0"/>
                <w:sz w:val="21"/>
                <w:szCs w:val="21"/>
              </w:rPr>
              <w:t>分值</w:t>
            </w:r>
          </w:p>
        </w:tc>
        <w:tc>
          <w:tcPr>
            <w:tcW w:w="0" w:type="auto"/>
            <w:vAlign w:val="center"/>
          </w:tcPr>
          <w:p>
            <w:pPr>
              <w:ind w:firstLine="0" w:firstLineChars="0"/>
              <w:jc w:val="center"/>
              <w:rPr>
                <w:color w:val="auto"/>
                <w:kern w:val="0"/>
                <w:sz w:val="21"/>
                <w:szCs w:val="21"/>
              </w:rPr>
            </w:pPr>
            <w:r>
              <w:rPr>
                <w:color w:val="auto"/>
                <w:kern w:val="0"/>
                <w:sz w:val="21"/>
                <w:szCs w:val="21"/>
              </w:rPr>
              <w:t>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restart"/>
            <w:vAlign w:val="center"/>
          </w:tcPr>
          <w:p>
            <w:pPr>
              <w:spacing w:line="240" w:lineRule="auto"/>
              <w:ind w:firstLine="0" w:firstLineChars="0"/>
              <w:jc w:val="center"/>
              <w:rPr>
                <w:color w:val="auto"/>
                <w:kern w:val="0"/>
                <w:sz w:val="21"/>
                <w:szCs w:val="21"/>
              </w:rPr>
            </w:pPr>
            <w:r>
              <w:rPr>
                <w:color w:val="auto"/>
                <w:kern w:val="0"/>
                <w:sz w:val="21"/>
                <w:szCs w:val="21"/>
              </w:rPr>
              <w:t>截流措施</w:t>
            </w:r>
          </w:p>
        </w:tc>
        <w:tc>
          <w:tcPr>
            <w:tcW w:w="6111" w:type="dxa"/>
            <w:vAlign w:val="center"/>
          </w:tcPr>
          <w:p>
            <w:pPr>
              <w:spacing w:line="240" w:lineRule="auto"/>
              <w:ind w:firstLine="0" w:firstLineChars="0"/>
              <w:rPr>
                <w:color w:val="auto"/>
                <w:kern w:val="0"/>
                <w:sz w:val="21"/>
                <w:szCs w:val="21"/>
              </w:rPr>
            </w:pPr>
            <w:r>
              <w:rPr>
                <w:color w:val="auto"/>
                <w:kern w:val="0"/>
                <w:sz w:val="21"/>
                <w:szCs w:val="21"/>
              </w:rPr>
              <w:t>（1）环境风险单元设防渗漏、防腐蚀、防淋溶、防流失措施；且</w:t>
            </w:r>
          </w:p>
          <w:p>
            <w:pPr>
              <w:spacing w:line="240" w:lineRule="auto"/>
              <w:ind w:firstLine="0" w:firstLineChars="0"/>
              <w:rPr>
                <w:color w:val="auto"/>
                <w:kern w:val="0"/>
                <w:sz w:val="21"/>
                <w:szCs w:val="21"/>
              </w:rPr>
            </w:pPr>
            <w:r>
              <w:rPr>
                <w:color w:val="auto"/>
                <w:kern w:val="0"/>
                <w:sz w:val="21"/>
                <w:szCs w:val="21"/>
              </w:rPr>
              <w:t>（2）装置围堰与罐区防火堤（围堰）外设排水切换阀，正常情况下通向雨水系统的阀门关闭，通向事故存液池、应急事故水池、清净废水排放缓冲池或污水处理系统的阀门打开；且</w:t>
            </w:r>
          </w:p>
          <w:p>
            <w:pPr>
              <w:spacing w:line="240" w:lineRule="auto"/>
              <w:ind w:firstLine="0" w:firstLineChars="0"/>
              <w:rPr>
                <w:color w:val="auto"/>
                <w:kern w:val="0"/>
                <w:sz w:val="21"/>
                <w:szCs w:val="21"/>
              </w:rPr>
            </w:pPr>
            <w:r>
              <w:rPr>
                <w:color w:val="auto"/>
                <w:kern w:val="0"/>
                <w:sz w:val="21"/>
                <w:szCs w:val="21"/>
              </w:rPr>
              <w:t>（3）前述措施日常管理及维护良好，有专人负责阀门切换或设置自动切换设施保证初期雨水、泄漏物和受污染的消防水排入污水系统</w:t>
            </w:r>
          </w:p>
        </w:tc>
        <w:tc>
          <w:tcPr>
            <w:tcW w:w="0" w:type="auto"/>
            <w:vAlign w:val="center"/>
          </w:tcPr>
          <w:p>
            <w:pPr>
              <w:ind w:firstLine="0" w:firstLineChars="0"/>
              <w:jc w:val="center"/>
              <w:rPr>
                <w:color w:val="auto"/>
                <w:kern w:val="0"/>
                <w:sz w:val="21"/>
                <w:szCs w:val="21"/>
              </w:rPr>
            </w:pPr>
            <w:r>
              <w:rPr>
                <w:color w:val="auto"/>
                <w:kern w:val="0"/>
                <w:sz w:val="21"/>
                <w:szCs w:val="21"/>
              </w:rPr>
              <w:t>0</w:t>
            </w:r>
          </w:p>
        </w:tc>
        <w:tc>
          <w:tcPr>
            <w:tcW w:w="0" w:type="auto"/>
            <w:vAlign w:val="center"/>
          </w:tcPr>
          <w:p>
            <w:pPr>
              <w:ind w:firstLine="0" w:firstLineChars="0"/>
              <w:jc w:val="center"/>
              <w:rPr>
                <w:color w:val="auto"/>
                <w:kern w:val="0"/>
                <w:sz w:val="21"/>
                <w:szCs w:val="21"/>
              </w:rPr>
            </w:pPr>
            <w:r>
              <w:rPr>
                <w:color w:val="auto"/>
                <w:kern w:val="0"/>
                <w:sz w:val="21"/>
                <w:szCs w:val="21"/>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continue"/>
            <w:vAlign w:val="center"/>
          </w:tcPr>
          <w:p>
            <w:pPr>
              <w:spacing w:line="240" w:lineRule="auto"/>
              <w:ind w:firstLine="0" w:firstLineChars="0"/>
              <w:jc w:val="center"/>
              <w:rPr>
                <w:color w:val="auto"/>
                <w:kern w:val="0"/>
                <w:sz w:val="21"/>
                <w:szCs w:val="21"/>
              </w:rPr>
            </w:pPr>
          </w:p>
        </w:tc>
        <w:tc>
          <w:tcPr>
            <w:tcW w:w="6111" w:type="dxa"/>
            <w:vAlign w:val="center"/>
          </w:tcPr>
          <w:p>
            <w:pPr>
              <w:spacing w:line="240" w:lineRule="auto"/>
              <w:ind w:firstLine="0" w:firstLineChars="0"/>
              <w:rPr>
                <w:color w:val="auto"/>
                <w:kern w:val="0"/>
                <w:sz w:val="21"/>
                <w:szCs w:val="21"/>
              </w:rPr>
            </w:pPr>
            <w:r>
              <w:rPr>
                <w:color w:val="auto"/>
                <w:kern w:val="0"/>
                <w:sz w:val="21"/>
                <w:szCs w:val="21"/>
              </w:rPr>
              <w:t>有任意一个环境风险单元（包括可能发生液体泄漏或产生液体泄漏物的危险废物贮存场所）的截流措施不符合上述任意一条要求的</w:t>
            </w:r>
          </w:p>
        </w:tc>
        <w:tc>
          <w:tcPr>
            <w:tcW w:w="0" w:type="auto"/>
            <w:vAlign w:val="center"/>
          </w:tcPr>
          <w:p>
            <w:pPr>
              <w:ind w:firstLine="0" w:firstLineChars="0"/>
              <w:jc w:val="center"/>
              <w:rPr>
                <w:color w:val="auto"/>
                <w:kern w:val="0"/>
                <w:sz w:val="21"/>
                <w:szCs w:val="21"/>
              </w:rPr>
            </w:pPr>
            <w:r>
              <w:rPr>
                <w:color w:val="auto"/>
                <w:kern w:val="0"/>
                <w:sz w:val="21"/>
                <w:szCs w:val="21"/>
              </w:rPr>
              <w:t>8</w:t>
            </w:r>
          </w:p>
        </w:tc>
        <w:tc>
          <w:tcPr>
            <w:tcW w:w="0" w:type="auto"/>
            <w:vAlign w:val="center"/>
          </w:tcPr>
          <w:p>
            <w:pPr>
              <w:ind w:firstLine="0" w:firstLineChars="0"/>
              <w:jc w:val="center"/>
              <w:rPr>
                <w:color w:val="auto"/>
                <w:kern w:val="0"/>
                <w:sz w:val="21"/>
                <w:szCs w:val="21"/>
              </w:rPr>
            </w:pPr>
            <w:r>
              <w:rPr>
                <w:color w:val="auto"/>
                <w:kern w:val="0"/>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restart"/>
            <w:vAlign w:val="center"/>
          </w:tcPr>
          <w:p>
            <w:pPr>
              <w:spacing w:line="240" w:lineRule="auto"/>
              <w:ind w:firstLine="0" w:firstLineChars="0"/>
              <w:jc w:val="center"/>
              <w:rPr>
                <w:color w:val="auto"/>
                <w:kern w:val="0"/>
                <w:sz w:val="21"/>
                <w:szCs w:val="21"/>
              </w:rPr>
            </w:pPr>
            <w:r>
              <w:rPr>
                <w:color w:val="auto"/>
                <w:kern w:val="0"/>
                <w:sz w:val="21"/>
                <w:szCs w:val="21"/>
              </w:rPr>
              <w:t>事故废水收集措施</w:t>
            </w:r>
          </w:p>
        </w:tc>
        <w:tc>
          <w:tcPr>
            <w:tcW w:w="6111" w:type="dxa"/>
            <w:vAlign w:val="center"/>
          </w:tcPr>
          <w:p>
            <w:pPr>
              <w:spacing w:line="240" w:lineRule="auto"/>
              <w:ind w:firstLine="0" w:firstLineChars="0"/>
              <w:rPr>
                <w:color w:val="auto"/>
                <w:kern w:val="0"/>
                <w:sz w:val="21"/>
                <w:szCs w:val="21"/>
              </w:rPr>
            </w:pPr>
            <w:r>
              <w:rPr>
                <w:color w:val="auto"/>
                <w:kern w:val="0"/>
                <w:sz w:val="21"/>
                <w:szCs w:val="21"/>
              </w:rPr>
              <w:t>（1）按相关设计规范设置应急事故水池、事故存液池或清净废水排放缓冲池等事故排水收集设施，并根据相关设计规范、下游环境风险受体敏感程度和易发生极端天气情况，设计事故排水收集设施的容量；且</w:t>
            </w:r>
          </w:p>
          <w:p>
            <w:pPr>
              <w:spacing w:line="240" w:lineRule="auto"/>
              <w:ind w:firstLine="0" w:firstLineChars="0"/>
              <w:rPr>
                <w:color w:val="auto"/>
                <w:kern w:val="0"/>
                <w:sz w:val="21"/>
                <w:szCs w:val="21"/>
              </w:rPr>
            </w:pPr>
            <w:r>
              <w:rPr>
                <w:color w:val="auto"/>
                <w:kern w:val="0"/>
                <w:sz w:val="21"/>
                <w:szCs w:val="21"/>
              </w:rPr>
              <w:t>（2）确保事故排水收集设施在事故状态下能顺利收集泄漏物和消防水，日常保持足够的事故排水缓冲容量；且</w:t>
            </w:r>
          </w:p>
          <w:p>
            <w:pPr>
              <w:spacing w:line="240" w:lineRule="auto"/>
              <w:ind w:firstLine="0" w:firstLineChars="0"/>
              <w:rPr>
                <w:color w:val="auto"/>
                <w:kern w:val="0"/>
                <w:sz w:val="21"/>
                <w:szCs w:val="21"/>
              </w:rPr>
            </w:pPr>
            <w:r>
              <w:rPr>
                <w:color w:val="auto"/>
                <w:kern w:val="0"/>
                <w:sz w:val="21"/>
                <w:szCs w:val="21"/>
              </w:rPr>
              <w:t>（3）通过协议单位或自建管线，能将所收集废水送至厂区内污水处理设施处理</w:t>
            </w:r>
          </w:p>
        </w:tc>
        <w:tc>
          <w:tcPr>
            <w:tcW w:w="0" w:type="auto"/>
            <w:vAlign w:val="center"/>
          </w:tcPr>
          <w:p>
            <w:pPr>
              <w:ind w:firstLine="0" w:firstLineChars="0"/>
              <w:jc w:val="center"/>
              <w:rPr>
                <w:color w:val="auto"/>
                <w:kern w:val="0"/>
                <w:sz w:val="21"/>
                <w:szCs w:val="21"/>
              </w:rPr>
            </w:pPr>
            <w:r>
              <w:rPr>
                <w:color w:val="auto"/>
                <w:kern w:val="0"/>
                <w:sz w:val="21"/>
                <w:szCs w:val="21"/>
              </w:rPr>
              <w:t>0</w:t>
            </w:r>
          </w:p>
        </w:tc>
        <w:tc>
          <w:tcPr>
            <w:tcW w:w="0" w:type="auto"/>
            <w:vAlign w:val="center"/>
          </w:tcPr>
          <w:p>
            <w:pPr>
              <w:ind w:firstLine="0" w:firstLineChars="0"/>
              <w:jc w:val="center"/>
              <w:rPr>
                <w:color w:val="auto"/>
                <w:kern w:val="0"/>
                <w:sz w:val="21"/>
                <w:szCs w:val="21"/>
              </w:rPr>
            </w:pPr>
            <w:r>
              <w:rPr>
                <w:color w:val="auto"/>
                <w:kern w:val="0"/>
                <w:sz w:val="21"/>
                <w:szCs w:val="21"/>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continue"/>
            <w:vAlign w:val="center"/>
          </w:tcPr>
          <w:p>
            <w:pPr>
              <w:spacing w:line="240" w:lineRule="auto"/>
              <w:ind w:firstLine="0" w:firstLineChars="0"/>
              <w:jc w:val="center"/>
              <w:rPr>
                <w:color w:val="auto"/>
                <w:kern w:val="0"/>
                <w:sz w:val="21"/>
                <w:szCs w:val="21"/>
              </w:rPr>
            </w:pPr>
          </w:p>
        </w:tc>
        <w:tc>
          <w:tcPr>
            <w:tcW w:w="6111" w:type="dxa"/>
            <w:vAlign w:val="center"/>
          </w:tcPr>
          <w:p>
            <w:pPr>
              <w:spacing w:line="240" w:lineRule="auto"/>
              <w:ind w:firstLine="0" w:firstLineChars="0"/>
              <w:rPr>
                <w:color w:val="auto"/>
                <w:kern w:val="0"/>
                <w:sz w:val="21"/>
                <w:szCs w:val="21"/>
              </w:rPr>
            </w:pPr>
            <w:r>
              <w:rPr>
                <w:color w:val="auto"/>
                <w:kern w:val="0"/>
                <w:sz w:val="21"/>
                <w:szCs w:val="21"/>
              </w:rPr>
              <w:t>有任意一个环境风险单元（包括可能发生液体泄漏或产生液体泄漏物的危险废物贮存场所）的事故排水收集措施不符合上述任意一条要求的</w:t>
            </w:r>
          </w:p>
        </w:tc>
        <w:tc>
          <w:tcPr>
            <w:tcW w:w="0" w:type="auto"/>
            <w:vAlign w:val="center"/>
          </w:tcPr>
          <w:p>
            <w:pPr>
              <w:ind w:firstLine="0" w:firstLineChars="0"/>
              <w:jc w:val="center"/>
              <w:rPr>
                <w:color w:val="auto"/>
                <w:kern w:val="0"/>
                <w:sz w:val="21"/>
                <w:szCs w:val="21"/>
              </w:rPr>
            </w:pPr>
            <w:r>
              <w:rPr>
                <w:color w:val="auto"/>
                <w:kern w:val="0"/>
                <w:sz w:val="21"/>
                <w:szCs w:val="21"/>
              </w:rPr>
              <w:t>8</w:t>
            </w:r>
          </w:p>
        </w:tc>
        <w:tc>
          <w:tcPr>
            <w:tcW w:w="0" w:type="auto"/>
            <w:vAlign w:val="center"/>
          </w:tcPr>
          <w:p>
            <w:pPr>
              <w:ind w:firstLine="0" w:firstLineChars="0"/>
              <w:jc w:val="center"/>
              <w:rPr>
                <w:color w:val="auto"/>
                <w:kern w:val="0"/>
                <w:sz w:val="21"/>
                <w:szCs w:val="21"/>
              </w:rPr>
            </w:pPr>
            <w:r>
              <w:rPr>
                <w:color w:val="auto"/>
                <w:kern w:val="0"/>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94" w:hRule="atLeast"/>
        </w:trPr>
        <w:tc>
          <w:tcPr>
            <w:tcW w:w="1129" w:type="dxa"/>
            <w:vMerge w:val="restart"/>
            <w:vAlign w:val="center"/>
          </w:tcPr>
          <w:p>
            <w:pPr>
              <w:spacing w:line="240" w:lineRule="auto"/>
              <w:ind w:firstLine="0" w:firstLineChars="0"/>
              <w:jc w:val="center"/>
              <w:rPr>
                <w:color w:val="auto"/>
                <w:kern w:val="0"/>
                <w:sz w:val="21"/>
                <w:szCs w:val="21"/>
              </w:rPr>
            </w:pPr>
            <w:r>
              <w:rPr>
                <w:color w:val="auto"/>
                <w:kern w:val="0"/>
                <w:sz w:val="21"/>
                <w:szCs w:val="21"/>
              </w:rPr>
              <w:t>清净废水系统风险防控措施</w:t>
            </w:r>
          </w:p>
        </w:tc>
        <w:tc>
          <w:tcPr>
            <w:tcW w:w="6111" w:type="dxa"/>
            <w:vAlign w:val="center"/>
          </w:tcPr>
          <w:p>
            <w:pPr>
              <w:spacing w:line="240" w:lineRule="auto"/>
              <w:ind w:firstLine="0" w:firstLineChars="0"/>
              <w:rPr>
                <w:color w:val="auto"/>
                <w:kern w:val="0"/>
                <w:sz w:val="21"/>
                <w:szCs w:val="21"/>
              </w:rPr>
            </w:pPr>
            <w:r>
              <w:rPr>
                <w:color w:val="auto"/>
                <w:kern w:val="0"/>
                <w:sz w:val="21"/>
                <w:szCs w:val="21"/>
              </w:rPr>
              <w:t>（1）不涉及清净废水；或</w:t>
            </w:r>
          </w:p>
          <w:p>
            <w:pPr>
              <w:spacing w:line="240" w:lineRule="auto"/>
              <w:ind w:firstLine="0" w:firstLineChars="0"/>
              <w:rPr>
                <w:color w:val="auto"/>
                <w:kern w:val="0"/>
                <w:sz w:val="21"/>
                <w:szCs w:val="21"/>
              </w:rPr>
            </w:pPr>
            <w:r>
              <w:rPr>
                <w:color w:val="auto"/>
                <w:kern w:val="0"/>
                <w:sz w:val="21"/>
                <w:szCs w:val="21"/>
              </w:rPr>
              <w:t>（2）厂区内清净废水均可排入废水处理系统；或清污分流，且清净废水系统具有下述所有措施：</w:t>
            </w:r>
          </w:p>
          <w:p>
            <w:pPr>
              <w:spacing w:line="240" w:lineRule="auto"/>
              <w:ind w:firstLine="0" w:firstLineChars="0"/>
              <w:rPr>
                <w:color w:val="auto"/>
                <w:kern w:val="0"/>
                <w:sz w:val="21"/>
                <w:szCs w:val="21"/>
              </w:rPr>
            </w:pPr>
            <w:r>
              <w:rPr>
                <w:color w:val="auto"/>
                <w:kern w:val="0"/>
                <w:sz w:val="21"/>
                <w:szCs w:val="21"/>
              </w:rPr>
              <w:t>①具有收集受污染的清净废水的缓冲池（或收集池），池内日常保持足够的事故排水缓冲容量；池内设有提升设施或通过自流，能将所收集物送至厂区内污水处理设施处理；且</w:t>
            </w:r>
          </w:p>
          <w:p>
            <w:pPr>
              <w:spacing w:line="240" w:lineRule="auto"/>
              <w:ind w:firstLine="0" w:firstLineChars="0"/>
              <w:rPr>
                <w:color w:val="auto"/>
                <w:kern w:val="0"/>
                <w:sz w:val="21"/>
                <w:szCs w:val="21"/>
              </w:rPr>
            </w:pPr>
            <w:r>
              <w:rPr>
                <w:color w:val="auto"/>
                <w:kern w:val="0"/>
                <w:sz w:val="21"/>
                <w:szCs w:val="21"/>
              </w:rPr>
              <w:t>②具有清净废水系统的总排口监视及关闭设施，有专人负责在紧急情况下关闭清净废水总排口，防止受污染的清净废水和泄漏物进入外环境</w:t>
            </w:r>
          </w:p>
        </w:tc>
        <w:tc>
          <w:tcPr>
            <w:tcW w:w="0" w:type="auto"/>
            <w:vAlign w:val="center"/>
          </w:tcPr>
          <w:p>
            <w:pPr>
              <w:ind w:firstLine="0" w:firstLineChars="0"/>
              <w:jc w:val="center"/>
              <w:rPr>
                <w:color w:val="auto"/>
                <w:kern w:val="0"/>
                <w:sz w:val="21"/>
                <w:szCs w:val="21"/>
              </w:rPr>
            </w:pPr>
            <w:r>
              <w:rPr>
                <w:color w:val="auto"/>
                <w:kern w:val="0"/>
                <w:sz w:val="21"/>
                <w:szCs w:val="21"/>
              </w:rPr>
              <w:t>0</w:t>
            </w:r>
          </w:p>
        </w:tc>
        <w:tc>
          <w:tcPr>
            <w:tcW w:w="0" w:type="auto"/>
            <w:vAlign w:val="center"/>
          </w:tcPr>
          <w:p>
            <w:pPr>
              <w:ind w:firstLine="0" w:firstLineChars="0"/>
              <w:jc w:val="center"/>
              <w:rPr>
                <w:color w:val="auto"/>
                <w:kern w:val="0"/>
                <w:sz w:val="21"/>
                <w:szCs w:val="21"/>
              </w:rPr>
            </w:pPr>
            <w:r>
              <w:rPr>
                <w:color w:val="auto"/>
                <w:kern w:val="0"/>
                <w:sz w:val="21"/>
                <w:szCs w:val="21"/>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86" w:hRule="atLeast"/>
        </w:trPr>
        <w:tc>
          <w:tcPr>
            <w:tcW w:w="1129" w:type="dxa"/>
            <w:vMerge w:val="continue"/>
            <w:vAlign w:val="center"/>
          </w:tcPr>
          <w:p>
            <w:pPr>
              <w:spacing w:line="240" w:lineRule="auto"/>
              <w:ind w:firstLine="0" w:firstLineChars="0"/>
              <w:jc w:val="center"/>
              <w:rPr>
                <w:color w:val="auto"/>
                <w:kern w:val="0"/>
                <w:sz w:val="21"/>
                <w:szCs w:val="21"/>
              </w:rPr>
            </w:pPr>
          </w:p>
        </w:tc>
        <w:tc>
          <w:tcPr>
            <w:tcW w:w="6111" w:type="dxa"/>
            <w:vAlign w:val="center"/>
          </w:tcPr>
          <w:p>
            <w:pPr>
              <w:spacing w:line="240" w:lineRule="auto"/>
              <w:ind w:firstLine="0" w:firstLineChars="0"/>
              <w:rPr>
                <w:color w:val="auto"/>
                <w:kern w:val="0"/>
                <w:sz w:val="21"/>
                <w:szCs w:val="21"/>
              </w:rPr>
            </w:pPr>
            <w:r>
              <w:rPr>
                <w:color w:val="auto"/>
                <w:kern w:val="0"/>
                <w:sz w:val="21"/>
                <w:szCs w:val="21"/>
              </w:rPr>
              <w:t>涉及清净废水，有任意一个环境风险单元的清净废水系统风险防控措施不符合上述（2）要求的</w:t>
            </w:r>
          </w:p>
        </w:tc>
        <w:tc>
          <w:tcPr>
            <w:tcW w:w="0" w:type="auto"/>
            <w:vAlign w:val="center"/>
          </w:tcPr>
          <w:p>
            <w:pPr>
              <w:ind w:firstLine="0" w:firstLineChars="0"/>
              <w:jc w:val="center"/>
              <w:rPr>
                <w:color w:val="auto"/>
                <w:kern w:val="0"/>
                <w:sz w:val="21"/>
                <w:szCs w:val="21"/>
              </w:rPr>
            </w:pPr>
            <w:r>
              <w:rPr>
                <w:color w:val="auto"/>
                <w:kern w:val="0"/>
                <w:sz w:val="21"/>
                <w:szCs w:val="21"/>
              </w:rPr>
              <w:t>8</w:t>
            </w:r>
          </w:p>
        </w:tc>
        <w:tc>
          <w:tcPr>
            <w:tcW w:w="0" w:type="auto"/>
            <w:vAlign w:val="center"/>
          </w:tcPr>
          <w:p>
            <w:pPr>
              <w:ind w:firstLine="0" w:firstLineChars="0"/>
              <w:jc w:val="center"/>
              <w:rPr>
                <w:color w:val="auto"/>
                <w:kern w:val="0"/>
                <w:sz w:val="21"/>
                <w:szCs w:val="21"/>
              </w:rPr>
            </w:pPr>
            <w:r>
              <w:rPr>
                <w:color w:val="auto"/>
                <w:kern w:val="0"/>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restart"/>
            <w:vAlign w:val="center"/>
          </w:tcPr>
          <w:p>
            <w:pPr>
              <w:spacing w:line="240" w:lineRule="auto"/>
              <w:ind w:firstLine="0" w:firstLineChars="0"/>
              <w:jc w:val="center"/>
              <w:rPr>
                <w:color w:val="auto"/>
                <w:kern w:val="0"/>
                <w:sz w:val="21"/>
                <w:szCs w:val="21"/>
              </w:rPr>
            </w:pPr>
            <w:r>
              <w:rPr>
                <w:color w:val="auto"/>
                <w:kern w:val="0"/>
                <w:sz w:val="21"/>
                <w:szCs w:val="21"/>
              </w:rPr>
              <w:t>雨水排水系统风险防控措施</w:t>
            </w:r>
          </w:p>
        </w:tc>
        <w:tc>
          <w:tcPr>
            <w:tcW w:w="6111" w:type="dxa"/>
            <w:vAlign w:val="center"/>
          </w:tcPr>
          <w:p>
            <w:pPr>
              <w:spacing w:line="240" w:lineRule="auto"/>
              <w:ind w:firstLine="0" w:firstLineChars="0"/>
              <w:rPr>
                <w:color w:val="auto"/>
                <w:kern w:val="0"/>
                <w:sz w:val="21"/>
                <w:szCs w:val="21"/>
              </w:rPr>
            </w:pPr>
            <w:r>
              <w:rPr>
                <w:color w:val="auto"/>
                <w:kern w:val="0"/>
                <w:sz w:val="21"/>
                <w:szCs w:val="21"/>
              </w:rPr>
              <w:t>（1）厂区内雨水均进入废水处理系统；或雨污分流，且雨水排水系统具有下述所有措施：</w:t>
            </w:r>
          </w:p>
          <w:p>
            <w:pPr>
              <w:spacing w:line="240" w:lineRule="auto"/>
              <w:ind w:firstLine="0" w:firstLineChars="0"/>
              <w:rPr>
                <w:color w:val="auto"/>
                <w:kern w:val="0"/>
                <w:sz w:val="21"/>
                <w:szCs w:val="21"/>
              </w:rPr>
            </w:pPr>
            <w:r>
              <w:rPr>
                <w:color w:val="auto"/>
                <w:kern w:val="0"/>
                <w:sz w:val="21"/>
                <w:szCs w:val="21"/>
              </w:rPr>
              <w:t>①具有收集初期雨水的收集池或雨水监控池；池出水管上设置切断阀，正常情况下阀门关闭，防止受污染的雨水外排；池内设有提升设施或通过自流，能将所收集物送至厂区内污水处理设施处理；</w:t>
            </w:r>
          </w:p>
          <w:p>
            <w:pPr>
              <w:spacing w:line="240" w:lineRule="auto"/>
              <w:ind w:firstLine="0" w:firstLineChars="0"/>
              <w:rPr>
                <w:color w:val="auto"/>
                <w:kern w:val="0"/>
                <w:sz w:val="21"/>
                <w:szCs w:val="21"/>
              </w:rPr>
            </w:pPr>
            <w:r>
              <w:rPr>
                <w:color w:val="auto"/>
                <w:kern w:val="0"/>
                <w:sz w:val="21"/>
                <w:szCs w:val="21"/>
              </w:rPr>
              <w:t>②具有雨水系统总排口（含泄洪渠）监视及关闭设施，在紧急情况下有专人负责关闭雨水系统总排口（含与清净废水共用一套排水系统情况），防止雨水、消防水和泄漏物进入外环境</w:t>
            </w:r>
          </w:p>
          <w:p>
            <w:pPr>
              <w:spacing w:line="240" w:lineRule="auto"/>
              <w:ind w:firstLine="0" w:firstLineChars="0"/>
              <w:rPr>
                <w:color w:val="auto"/>
                <w:kern w:val="0"/>
                <w:sz w:val="21"/>
                <w:szCs w:val="21"/>
              </w:rPr>
            </w:pPr>
            <w:r>
              <w:rPr>
                <w:color w:val="auto"/>
                <w:kern w:val="0"/>
                <w:sz w:val="21"/>
                <w:szCs w:val="21"/>
              </w:rPr>
              <w:t>（2）如果有排洪沟，排洪沟不得通过生产区和罐区，或具有防止泄漏物和受污染的消防水等流入区域排洪沟的措施</w:t>
            </w:r>
          </w:p>
        </w:tc>
        <w:tc>
          <w:tcPr>
            <w:tcW w:w="0" w:type="auto"/>
            <w:vAlign w:val="center"/>
          </w:tcPr>
          <w:p>
            <w:pPr>
              <w:ind w:firstLine="0" w:firstLineChars="0"/>
              <w:jc w:val="center"/>
              <w:rPr>
                <w:color w:val="auto"/>
                <w:kern w:val="0"/>
                <w:sz w:val="21"/>
                <w:szCs w:val="21"/>
              </w:rPr>
            </w:pPr>
            <w:r>
              <w:rPr>
                <w:color w:val="auto"/>
                <w:kern w:val="0"/>
                <w:sz w:val="21"/>
                <w:szCs w:val="21"/>
              </w:rPr>
              <w:t>0</w:t>
            </w:r>
          </w:p>
        </w:tc>
        <w:tc>
          <w:tcPr>
            <w:tcW w:w="0" w:type="auto"/>
            <w:vAlign w:val="center"/>
          </w:tcPr>
          <w:p>
            <w:pPr>
              <w:ind w:firstLine="0" w:firstLineChars="0"/>
              <w:jc w:val="center"/>
              <w:rPr>
                <w:color w:val="auto"/>
                <w:kern w:val="0"/>
                <w:sz w:val="21"/>
                <w:szCs w:val="21"/>
              </w:rPr>
            </w:pPr>
            <w:r>
              <w:rPr>
                <w:color w:val="auto"/>
                <w:kern w:val="0"/>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continue"/>
            <w:vAlign w:val="center"/>
          </w:tcPr>
          <w:p>
            <w:pPr>
              <w:spacing w:line="240" w:lineRule="auto"/>
              <w:ind w:firstLine="0" w:firstLineChars="0"/>
              <w:jc w:val="center"/>
              <w:rPr>
                <w:color w:val="auto"/>
                <w:kern w:val="0"/>
                <w:sz w:val="21"/>
                <w:szCs w:val="21"/>
              </w:rPr>
            </w:pPr>
          </w:p>
        </w:tc>
        <w:tc>
          <w:tcPr>
            <w:tcW w:w="6111" w:type="dxa"/>
            <w:vAlign w:val="center"/>
          </w:tcPr>
          <w:p>
            <w:pPr>
              <w:spacing w:line="240" w:lineRule="auto"/>
              <w:ind w:firstLine="0" w:firstLineChars="0"/>
              <w:rPr>
                <w:color w:val="auto"/>
                <w:kern w:val="0"/>
                <w:sz w:val="21"/>
                <w:szCs w:val="21"/>
              </w:rPr>
            </w:pPr>
            <w:r>
              <w:rPr>
                <w:color w:val="auto"/>
                <w:kern w:val="0"/>
                <w:sz w:val="21"/>
                <w:szCs w:val="21"/>
              </w:rPr>
              <w:t>不符合上述要求的</w:t>
            </w:r>
          </w:p>
        </w:tc>
        <w:tc>
          <w:tcPr>
            <w:tcW w:w="0" w:type="auto"/>
            <w:vAlign w:val="center"/>
          </w:tcPr>
          <w:p>
            <w:pPr>
              <w:ind w:firstLine="0" w:firstLineChars="0"/>
              <w:jc w:val="center"/>
              <w:rPr>
                <w:color w:val="auto"/>
                <w:kern w:val="0"/>
                <w:sz w:val="21"/>
                <w:szCs w:val="21"/>
              </w:rPr>
            </w:pPr>
            <w:r>
              <w:rPr>
                <w:color w:val="auto"/>
                <w:kern w:val="0"/>
                <w:sz w:val="21"/>
                <w:szCs w:val="21"/>
              </w:rPr>
              <w:t>8</w:t>
            </w:r>
          </w:p>
        </w:tc>
        <w:tc>
          <w:tcPr>
            <w:tcW w:w="0" w:type="auto"/>
            <w:vAlign w:val="center"/>
          </w:tcPr>
          <w:p>
            <w:pPr>
              <w:ind w:firstLine="0" w:firstLineChars="0"/>
              <w:jc w:val="center"/>
              <w:rPr>
                <w:color w:val="auto"/>
                <w:kern w:val="0"/>
                <w:sz w:val="21"/>
                <w:szCs w:val="21"/>
              </w:rPr>
            </w:pPr>
            <w:r>
              <w:rPr>
                <w:color w:val="auto"/>
                <w:kern w:val="0"/>
                <w:sz w:val="21"/>
                <w:szCs w:val="21"/>
              </w:rPr>
              <w:t>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restart"/>
            <w:vAlign w:val="center"/>
          </w:tcPr>
          <w:p>
            <w:pPr>
              <w:spacing w:line="240" w:lineRule="auto"/>
              <w:ind w:firstLine="0" w:firstLineChars="0"/>
              <w:jc w:val="center"/>
              <w:rPr>
                <w:color w:val="auto"/>
                <w:kern w:val="0"/>
                <w:sz w:val="21"/>
                <w:szCs w:val="21"/>
              </w:rPr>
            </w:pPr>
            <w:r>
              <w:rPr>
                <w:color w:val="auto"/>
                <w:kern w:val="0"/>
                <w:sz w:val="21"/>
                <w:szCs w:val="21"/>
              </w:rPr>
              <w:t>生产废水处理系统风险防控措施</w:t>
            </w:r>
          </w:p>
        </w:tc>
        <w:tc>
          <w:tcPr>
            <w:tcW w:w="6111" w:type="dxa"/>
            <w:vAlign w:val="center"/>
          </w:tcPr>
          <w:p>
            <w:pPr>
              <w:spacing w:line="240" w:lineRule="auto"/>
              <w:ind w:firstLine="0" w:firstLineChars="0"/>
              <w:rPr>
                <w:color w:val="auto"/>
                <w:kern w:val="0"/>
                <w:sz w:val="21"/>
                <w:szCs w:val="21"/>
              </w:rPr>
            </w:pPr>
            <w:r>
              <w:rPr>
                <w:color w:val="auto"/>
                <w:kern w:val="0"/>
                <w:sz w:val="21"/>
                <w:szCs w:val="21"/>
              </w:rPr>
              <w:t>（1）无生产废水产生或外排；或</w:t>
            </w:r>
          </w:p>
          <w:p>
            <w:pPr>
              <w:spacing w:line="240" w:lineRule="auto"/>
              <w:ind w:firstLine="0" w:firstLineChars="0"/>
              <w:rPr>
                <w:color w:val="auto"/>
                <w:kern w:val="0"/>
                <w:sz w:val="21"/>
                <w:szCs w:val="21"/>
              </w:rPr>
            </w:pPr>
            <w:r>
              <w:rPr>
                <w:color w:val="auto"/>
                <w:kern w:val="0"/>
                <w:sz w:val="21"/>
                <w:szCs w:val="21"/>
              </w:rPr>
              <w:t>（2）有废水外排时：</w:t>
            </w:r>
          </w:p>
          <w:p>
            <w:pPr>
              <w:spacing w:line="240" w:lineRule="auto"/>
              <w:ind w:firstLine="0" w:firstLineChars="0"/>
              <w:rPr>
                <w:color w:val="auto"/>
                <w:kern w:val="0"/>
                <w:sz w:val="21"/>
                <w:szCs w:val="21"/>
              </w:rPr>
            </w:pPr>
            <w:r>
              <w:rPr>
                <w:color w:val="auto"/>
                <w:kern w:val="0"/>
                <w:sz w:val="21"/>
                <w:szCs w:val="21"/>
              </w:rPr>
              <w:t>①受污染的循环冷却水、雨水、消防水等排入生产废水系统或独立处理系统</w:t>
            </w:r>
          </w:p>
          <w:p>
            <w:pPr>
              <w:spacing w:line="240" w:lineRule="auto"/>
              <w:ind w:firstLine="0" w:firstLineChars="0"/>
              <w:rPr>
                <w:color w:val="auto"/>
                <w:kern w:val="0"/>
                <w:sz w:val="21"/>
                <w:szCs w:val="21"/>
              </w:rPr>
            </w:pPr>
            <w:r>
              <w:rPr>
                <w:color w:val="auto"/>
                <w:kern w:val="0"/>
                <w:sz w:val="21"/>
                <w:szCs w:val="21"/>
              </w:rPr>
              <w:t>②生产废水排放前设监控池，能够将不合格废水送废水处理设施处理；</w:t>
            </w:r>
          </w:p>
          <w:p>
            <w:pPr>
              <w:spacing w:line="240" w:lineRule="auto"/>
              <w:ind w:firstLine="0" w:firstLineChars="0"/>
              <w:rPr>
                <w:color w:val="auto"/>
                <w:kern w:val="0"/>
                <w:sz w:val="21"/>
                <w:szCs w:val="21"/>
              </w:rPr>
            </w:pPr>
            <w:r>
              <w:rPr>
                <w:color w:val="auto"/>
                <w:kern w:val="0"/>
                <w:sz w:val="21"/>
                <w:szCs w:val="21"/>
              </w:rPr>
              <w:t>③如企业受污染的清净废水或雨水进入废水处理系统处理，则废水处理系统应设置事故水缓冲设施；</w:t>
            </w:r>
          </w:p>
          <w:p>
            <w:pPr>
              <w:spacing w:line="240" w:lineRule="auto"/>
              <w:ind w:firstLine="0" w:firstLineChars="0"/>
              <w:rPr>
                <w:color w:val="auto"/>
                <w:kern w:val="0"/>
                <w:sz w:val="21"/>
                <w:szCs w:val="21"/>
              </w:rPr>
            </w:pPr>
            <w:r>
              <w:rPr>
                <w:color w:val="auto"/>
                <w:kern w:val="0"/>
                <w:sz w:val="21"/>
                <w:szCs w:val="21"/>
              </w:rPr>
              <w:t>④具有生产废水总排口监视及关闭设施，有专人负责启闭，确保泄漏物、受污染的消防水、不合格废水不排出厂外</w:t>
            </w:r>
          </w:p>
        </w:tc>
        <w:tc>
          <w:tcPr>
            <w:tcW w:w="0" w:type="auto"/>
            <w:vAlign w:val="center"/>
          </w:tcPr>
          <w:p>
            <w:pPr>
              <w:ind w:firstLine="0" w:firstLineChars="0"/>
              <w:jc w:val="center"/>
              <w:rPr>
                <w:color w:val="auto"/>
                <w:kern w:val="0"/>
                <w:sz w:val="21"/>
                <w:szCs w:val="21"/>
              </w:rPr>
            </w:pPr>
            <w:r>
              <w:rPr>
                <w:color w:val="auto"/>
                <w:kern w:val="0"/>
                <w:sz w:val="21"/>
                <w:szCs w:val="21"/>
              </w:rPr>
              <w:t>0</w:t>
            </w:r>
          </w:p>
        </w:tc>
        <w:tc>
          <w:tcPr>
            <w:tcW w:w="0" w:type="auto"/>
            <w:vAlign w:val="center"/>
          </w:tcPr>
          <w:p>
            <w:pPr>
              <w:ind w:firstLine="0" w:firstLineChars="0"/>
              <w:jc w:val="center"/>
              <w:rPr>
                <w:color w:val="auto"/>
                <w:kern w:val="0"/>
                <w:sz w:val="21"/>
                <w:szCs w:val="21"/>
              </w:rPr>
            </w:pPr>
            <w:r>
              <w:rPr>
                <w:color w:val="auto"/>
                <w:kern w:val="0"/>
                <w:sz w:val="21"/>
                <w:szCs w:val="21"/>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continue"/>
            <w:vAlign w:val="center"/>
          </w:tcPr>
          <w:p>
            <w:pPr>
              <w:spacing w:line="240" w:lineRule="auto"/>
              <w:ind w:firstLine="0" w:firstLineChars="0"/>
              <w:jc w:val="center"/>
              <w:rPr>
                <w:color w:val="auto"/>
                <w:kern w:val="0"/>
                <w:sz w:val="21"/>
                <w:szCs w:val="21"/>
              </w:rPr>
            </w:pPr>
          </w:p>
        </w:tc>
        <w:tc>
          <w:tcPr>
            <w:tcW w:w="6111" w:type="dxa"/>
            <w:vAlign w:val="center"/>
          </w:tcPr>
          <w:p>
            <w:pPr>
              <w:spacing w:line="240" w:lineRule="auto"/>
              <w:ind w:firstLine="0" w:firstLineChars="0"/>
              <w:rPr>
                <w:color w:val="auto"/>
                <w:kern w:val="0"/>
                <w:sz w:val="21"/>
                <w:szCs w:val="21"/>
              </w:rPr>
            </w:pPr>
            <w:r>
              <w:rPr>
                <w:color w:val="auto"/>
                <w:kern w:val="0"/>
                <w:sz w:val="21"/>
                <w:szCs w:val="21"/>
              </w:rPr>
              <w:t>涉及废水外排，且不符合上述（2）中任意一条要求的</w:t>
            </w:r>
          </w:p>
        </w:tc>
        <w:tc>
          <w:tcPr>
            <w:tcW w:w="0" w:type="auto"/>
            <w:vAlign w:val="center"/>
          </w:tcPr>
          <w:p>
            <w:pPr>
              <w:ind w:firstLine="0" w:firstLineChars="0"/>
              <w:jc w:val="center"/>
              <w:rPr>
                <w:color w:val="auto"/>
                <w:kern w:val="0"/>
                <w:sz w:val="21"/>
                <w:szCs w:val="21"/>
              </w:rPr>
            </w:pPr>
            <w:r>
              <w:rPr>
                <w:color w:val="auto"/>
                <w:kern w:val="0"/>
                <w:sz w:val="21"/>
                <w:szCs w:val="21"/>
              </w:rPr>
              <w:t>8</w:t>
            </w:r>
          </w:p>
        </w:tc>
        <w:tc>
          <w:tcPr>
            <w:tcW w:w="0" w:type="auto"/>
            <w:vAlign w:val="center"/>
          </w:tcPr>
          <w:p>
            <w:pPr>
              <w:ind w:firstLine="0" w:firstLineChars="0"/>
              <w:jc w:val="center"/>
              <w:rPr>
                <w:color w:val="auto"/>
                <w:kern w:val="0"/>
                <w:sz w:val="21"/>
                <w:szCs w:val="21"/>
              </w:rPr>
            </w:pPr>
            <w:r>
              <w:rPr>
                <w:color w:val="auto"/>
                <w:kern w:val="0"/>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restart"/>
            <w:vAlign w:val="center"/>
          </w:tcPr>
          <w:p>
            <w:pPr>
              <w:spacing w:line="240" w:lineRule="auto"/>
              <w:ind w:firstLine="0" w:firstLineChars="0"/>
              <w:jc w:val="center"/>
              <w:rPr>
                <w:color w:val="auto"/>
                <w:kern w:val="0"/>
                <w:sz w:val="21"/>
                <w:szCs w:val="21"/>
              </w:rPr>
            </w:pPr>
            <w:r>
              <w:rPr>
                <w:color w:val="auto"/>
                <w:kern w:val="0"/>
                <w:sz w:val="21"/>
                <w:szCs w:val="21"/>
              </w:rPr>
              <w:t>废水排放去向</w:t>
            </w:r>
          </w:p>
        </w:tc>
        <w:tc>
          <w:tcPr>
            <w:tcW w:w="6111" w:type="dxa"/>
            <w:vAlign w:val="center"/>
          </w:tcPr>
          <w:p>
            <w:pPr>
              <w:spacing w:line="240" w:lineRule="auto"/>
              <w:ind w:firstLine="0" w:firstLineChars="0"/>
              <w:rPr>
                <w:color w:val="auto"/>
                <w:kern w:val="0"/>
                <w:sz w:val="21"/>
                <w:szCs w:val="21"/>
              </w:rPr>
            </w:pPr>
            <w:r>
              <w:rPr>
                <w:color w:val="auto"/>
                <w:kern w:val="0"/>
                <w:sz w:val="21"/>
                <w:szCs w:val="21"/>
              </w:rPr>
              <w:t>无生产废水产生或外排</w:t>
            </w:r>
          </w:p>
        </w:tc>
        <w:tc>
          <w:tcPr>
            <w:tcW w:w="0" w:type="auto"/>
            <w:vAlign w:val="center"/>
          </w:tcPr>
          <w:p>
            <w:pPr>
              <w:ind w:firstLine="0" w:firstLineChars="0"/>
              <w:jc w:val="center"/>
              <w:rPr>
                <w:color w:val="auto"/>
                <w:kern w:val="0"/>
                <w:sz w:val="21"/>
                <w:szCs w:val="21"/>
              </w:rPr>
            </w:pPr>
            <w:r>
              <w:rPr>
                <w:color w:val="auto"/>
                <w:kern w:val="0"/>
                <w:sz w:val="21"/>
                <w:szCs w:val="21"/>
              </w:rPr>
              <w:t>0</w:t>
            </w:r>
          </w:p>
        </w:tc>
        <w:tc>
          <w:tcPr>
            <w:tcW w:w="0" w:type="auto"/>
            <w:vAlign w:val="center"/>
          </w:tcPr>
          <w:p>
            <w:pPr>
              <w:ind w:firstLine="0" w:firstLineChars="0"/>
              <w:jc w:val="center"/>
              <w:rPr>
                <w:color w:val="auto"/>
                <w:kern w:val="0"/>
                <w:sz w:val="21"/>
                <w:szCs w:val="21"/>
              </w:rPr>
            </w:pPr>
            <w:r>
              <w:rPr>
                <w:color w:val="auto"/>
                <w:kern w:val="0"/>
                <w:sz w:val="21"/>
                <w:szCs w:val="21"/>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continue"/>
            <w:vAlign w:val="center"/>
          </w:tcPr>
          <w:p>
            <w:pPr>
              <w:spacing w:line="240" w:lineRule="auto"/>
              <w:ind w:firstLine="0" w:firstLineChars="0"/>
              <w:jc w:val="center"/>
              <w:rPr>
                <w:color w:val="auto"/>
                <w:kern w:val="0"/>
                <w:sz w:val="21"/>
                <w:szCs w:val="21"/>
              </w:rPr>
            </w:pPr>
          </w:p>
        </w:tc>
        <w:tc>
          <w:tcPr>
            <w:tcW w:w="6111" w:type="dxa"/>
            <w:vAlign w:val="center"/>
          </w:tcPr>
          <w:p>
            <w:pPr>
              <w:spacing w:line="240" w:lineRule="auto"/>
              <w:ind w:firstLine="0" w:firstLineChars="0"/>
              <w:rPr>
                <w:color w:val="auto"/>
                <w:kern w:val="0"/>
                <w:sz w:val="21"/>
                <w:szCs w:val="21"/>
              </w:rPr>
            </w:pPr>
            <w:r>
              <w:rPr>
                <w:color w:val="auto"/>
                <w:kern w:val="0"/>
                <w:sz w:val="21"/>
                <w:szCs w:val="21"/>
              </w:rPr>
              <w:t>（1）依法获取污水排入排水管网许可，进入城镇污水处理厂；或</w:t>
            </w:r>
          </w:p>
          <w:p>
            <w:pPr>
              <w:spacing w:line="240" w:lineRule="auto"/>
              <w:ind w:firstLine="0" w:firstLineChars="0"/>
              <w:rPr>
                <w:color w:val="auto"/>
                <w:kern w:val="0"/>
                <w:sz w:val="21"/>
                <w:szCs w:val="21"/>
              </w:rPr>
            </w:pPr>
            <w:r>
              <w:rPr>
                <w:color w:val="auto"/>
                <w:kern w:val="0"/>
                <w:sz w:val="21"/>
                <w:szCs w:val="21"/>
              </w:rPr>
              <w:t>（2）进入工业废水集中处理厂；或</w:t>
            </w:r>
          </w:p>
          <w:p>
            <w:pPr>
              <w:spacing w:line="240" w:lineRule="auto"/>
              <w:ind w:firstLine="0" w:firstLineChars="0"/>
              <w:rPr>
                <w:color w:val="auto"/>
                <w:kern w:val="0"/>
                <w:sz w:val="21"/>
                <w:szCs w:val="21"/>
              </w:rPr>
            </w:pPr>
            <w:r>
              <w:rPr>
                <w:color w:val="auto"/>
                <w:kern w:val="0"/>
                <w:sz w:val="21"/>
                <w:szCs w:val="21"/>
              </w:rPr>
              <w:t>（3）进入其他单位</w:t>
            </w:r>
          </w:p>
        </w:tc>
        <w:tc>
          <w:tcPr>
            <w:tcW w:w="0" w:type="auto"/>
            <w:vAlign w:val="center"/>
          </w:tcPr>
          <w:p>
            <w:pPr>
              <w:ind w:firstLine="0" w:firstLineChars="0"/>
              <w:jc w:val="center"/>
              <w:rPr>
                <w:color w:val="auto"/>
                <w:kern w:val="0"/>
                <w:sz w:val="21"/>
                <w:szCs w:val="21"/>
              </w:rPr>
            </w:pPr>
            <w:r>
              <w:rPr>
                <w:color w:val="auto"/>
                <w:kern w:val="0"/>
                <w:sz w:val="21"/>
                <w:szCs w:val="21"/>
              </w:rPr>
              <w:t>6</w:t>
            </w:r>
          </w:p>
        </w:tc>
        <w:tc>
          <w:tcPr>
            <w:tcW w:w="0" w:type="auto"/>
            <w:vAlign w:val="center"/>
          </w:tcPr>
          <w:p>
            <w:pPr>
              <w:ind w:firstLine="0" w:firstLineChars="0"/>
              <w:jc w:val="center"/>
              <w:rPr>
                <w:color w:val="auto"/>
                <w:kern w:val="0"/>
                <w:sz w:val="21"/>
                <w:szCs w:val="21"/>
              </w:rPr>
            </w:pPr>
            <w:r>
              <w:rPr>
                <w:color w:val="auto"/>
                <w:kern w:val="0"/>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continue"/>
            <w:vAlign w:val="center"/>
          </w:tcPr>
          <w:p>
            <w:pPr>
              <w:spacing w:line="240" w:lineRule="auto"/>
              <w:ind w:firstLine="0" w:firstLineChars="0"/>
              <w:jc w:val="center"/>
              <w:rPr>
                <w:color w:val="auto"/>
                <w:kern w:val="0"/>
                <w:sz w:val="21"/>
                <w:szCs w:val="21"/>
              </w:rPr>
            </w:pPr>
          </w:p>
        </w:tc>
        <w:tc>
          <w:tcPr>
            <w:tcW w:w="6111" w:type="dxa"/>
            <w:vAlign w:val="center"/>
          </w:tcPr>
          <w:p>
            <w:pPr>
              <w:spacing w:line="240" w:lineRule="auto"/>
              <w:ind w:firstLine="0" w:firstLineChars="0"/>
              <w:rPr>
                <w:color w:val="auto"/>
                <w:kern w:val="0"/>
                <w:sz w:val="21"/>
                <w:szCs w:val="21"/>
              </w:rPr>
            </w:pPr>
            <w:r>
              <w:rPr>
                <w:color w:val="auto"/>
                <w:kern w:val="0"/>
                <w:sz w:val="21"/>
                <w:szCs w:val="21"/>
              </w:rPr>
              <w:t>（1）直接进入海域或进入江、河、湖、库等水环境；或</w:t>
            </w:r>
          </w:p>
          <w:p>
            <w:pPr>
              <w:spacing w:line="240" w:lineRule="auto"/>
              <w:ind w:firstLine="0" w:firstLineChars="0"/>
              <w:rPr>
                <w:color w:val="auto"/>
                <w:kern w:val="0"/>
                <w:sz w:val="21"/>
                <w:szCs w:val="21"/>
              </w:rPr>
            </w:pPr>
            <w:r>
              <w:rPr>
                <w:color w:val="auto"/>
                <w:kern w:val="0"/>
                <w:sz w:val="21"/>
                <w:szCs w:val="21"/>
              </w:rPr>
              <w:t>（2）进入城市下水道再入江、河、湖、库或再进入海域；或</w:t>
            </w:r>
          </w:p>
          <w:p>
            <w:pPr>
              <w:spacing w:line="240" w:lineRule="auto"/>
              <w:ind w:firstLine="0" w:firstLineChars="0"/>
              <w:rPr>
                <w:color w:val="auto"/>
                <w:kern w:val="0"/>
                <w:sz w:val="21"/>
                <w:szCs w:val="21"/>
              </w:rPr>
            </w:pPr>
            <w:r>
              <w:rPr>
                <w:color w:val="auto"/>
                <w:kern w:val="0"/>
                <w:sz w:val="21"/>
                <w:szCs w:val="21"/>
              </w:rPr>
              <w:t>（3）未依法取得污水排入排水管网许可，进入城镇污水处理厂；或</w:t>
            </w:r>
          </w:p>
          <w:p>
            <w:pPr>
              <w:spacing w:line="240" w:lineRule="auto"/>
              <w:ind w:firstLine="0" w:firstLineChars="0"/>
              <w:rPr>
                <w:color w:val="auto"/>
                <w:kern w:val="0"/>
                <w:sz w:val="21"/>
                <w:szCs w:val="21"/>
              </w:rPr>
            </w:pPr>
            <w:r>
              <w:rPr>
                <w:color w:val="auto"/>
                <w:kern w:val="0"/>
                <w:sz w:val="21"/>
                <w:szCs w:val="21"/>
              </w:rPr>
              <w:t>（4）直接进入污灌农田或蒸发地</w:t>
            </w:r>
          </w:p>
        </w:tc>
        <w:tc>
          <w:tcPr>
            <w:tcW w:w="0" w:type="auto"/>
            <w:vAlign w:val="center"/>
          </w:tcPr>
          <w:p>
            <w:pPr>
              <w:ind w:firstLine="0" w:firstLineChars="0"/>
              <w:jc w:val="center"/>
              <w:rPr>
                <w:color w:val="auto"/>
                <w:kern w:val="0"/>
                <w:sz w:val="21"/>
                <w:szCs w:val="21"/>
              </w:rPr>
            </w:pPr>
            <w:r>
              <w:rPr>
                <w:color w:val="auto"/>
                <w:kern w:val="0"/>
                <w:sz w:val="21"/>
                <w:szCs w:val="21"/>
              </w:rPr>
              <w:t>12</w:t>
            </w:r>
          </w:p>
        </w:tc>
        <w:tc>
          <w:tcPr>
            <w:tcW w:w="0" w:type="auto"/>
            <w:vAlign w:val="center"/>
          </w:tcPr>
          <w:p>
            <w:pPr>
              <w:ind w:firstLine="0" w:firstLineChars="0"/>
              <w:jc w:val="center"/>
              <w:rPr>
                <w:color w:val="auto"/>
                <w:kern w:val="0"/>
                <w:sz w:val="21"/>
                <w:szCs w:val="21"/>
              </w:rPr>
            </w:pPr>
            <w:r>
              <w:rPr>
                <w:color w:val="auto"/>
                <w:kern w:val="0"/>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restart"/>
            <w:vAlign w:val="center"/>
          </w:tcPr>
          <w:p>
            <w:pPr>
              <w:spacing w:line="240" w:lineRule="auto"/>
              <w:ind w:firstLine="0" w:firstLineChars="0"/>
              <w:jc w:val="center"/>
              <w:rPr>
                <w:color w:val="auto"/>
                <w:kern w:val="0"/>
                <w:sz w:val="21"/>
                <w:szCs w:val="21"/>
              </w:rPr>
            </w:pPr>
            <w:r>
              <w:rPr>
                <w:color w:val="auto"/>
                <w:kern w:val="0"/>
                <w:sz w:val="21"/>
                <w:szCs w:val="21"/>
              </w:rPr>
              <w:t>厂内危险废物环境管理</w:t>
            </w:r>
          </w:p>
        </w:tc>
        <w:tc>
          <w:tcPr>
            <w:tcW w:w="6111" w:type="dxa"/>
            <w:vAlign w:val="center"/>
          </w:tcPr>
          <w:p>
            <w:pPr>
              <w:spacing w:line="240" w:lineRule="auto"/>
              <w:ind w:firstLine="0" w:firstLineChars="0"/>
              <w:rPr>
                <w:color w:val="auto"/>
                <w:kern w:val="0"/>
                <w:sz w:val="21"/>
                <w:szCs w:val="21"/>
              </w:rPr>
            </w:pPr>
            <w:r>
              <w:rPr>
                <w:color w:val="auto"/>
                <w:kern w:val="0"/>
                <w:sz w:val="21"/>
                <w:szCs w:val="21"/>
              </w:rPr>
              <w:t>（1）不涉及危险废物的；或</w:t>
            </w:r>
          </w:p>
          <w:p>
            <w:pPr>
              <w:spacing w:line="240" w:lineRule="auto"/>
              <w:ind w:firstLine="0" w:firstLineChars="0"/>
              <w:rPr>
                <w:color w:val="auto"/>
                <w:kern w:val="0"/>
                <w:sz w:val="21"/>
                <w:szCs w:val="21"/>
              </w:rPr>
            </w:pPr>
            <w:r>
              <w:rPr>
                <w:color w:val="auto"/>
                <w:kern w:val="0"/>
                <w:sz w:val="21"/>
                <w:szCs w:val="21"/>
              </w:rPr>
              <w:t>（2）针对危险废物分区贮存、运输、利用、处置具有完善的专业设施和风险防控措施</w:t>
            </w:r>
          </w:p>
        </w:tc>
        <w:tc>
          <w:tcPr>
            <w:tcW w:w="0" w:type="auto"/>
            <w:vAlign w:val="center"/>
          </w:tcPr>
          <w:p>
            <w:pPr>
              <w:ind w:firstLine="0" w:firstLineChars="0"/>
              <w:jc w:val="center"/>
              <w:rPr>
                <w:color w:val="auto"/>
                <w:kern w:val="0"/>
                <w:sz w:val="21"/>
                <w:szCs w:val="21"/>
              </w:rPr>
            </w:pPr>
            <w:r>
              <w:rPr>
                <w:color w:val="auto"/>
                <w:kern w:val="0"/>
                <w:sz w:val="21"/>
                <w:szCs w:val="21"/>
              </w:rPr>
              <w:t>0</w:t>
            </w:r>
          </w:p>
        </w:tc>
        <w:tc>
          <w:tcPr>
            <w:tcW w:w="0" w:type="auto"/>
            <w:vAlign w:val="center"/>
          </w:tcPr>
          <w:p>
            <w:pPr>
              <w:ind w:firstLine="0" w:firstLineChars="0"/>
              <w:jc w:val="center"/>
              <w:rPr>
                <w:color w:val="auto"/>
                <w:kern w:val="0"/>
                <w:sz w:val="21"/>
                <w:szCs w:val="21"/>
              </w:rPr>
            </w:pPr>
            <w:r>
              <w:rPr>
                <w:color w:val="auto"/>
                <w:kern w:val="0"/>
                <w:sz w:val="21"/>
                <w:szCs w:val="21"/>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continue"/>
            <w:vAlign w:val="center"/>
          </w:tcPr>
          <w:p>
            <w:pPr>
              <w:spacing w:line="240" w:lineRule="auto"/>
              <w:ind w:firstLine="0" w:firstLineChars="0"/>
              <w:jc w:val="center"/>
              <w:rPr>
                <w:color w:val="auto"/>
                <w:kern w:val="0"/>
                <w:sz w:val="21"/>
                <w:szCs w:val="21"/>
              </w:rPr>
            </w:pPr>
          </w:p>
        </w:tc>
        <w:tc>
          <w:tcPr>
            <w:tcW w:w="6111" w:type="dxa"/>
            <w:vAlign w:val="center"/>
          </w:tcPr>
          <w:p>
            <w:pPr>
              <w:spacing w:line="240" w:lineRule="auto"/>
              <w:ind w:firstLine="0" w:firstLineChars="0"/>
              <w:rPr>
                <w:color w:val="auto"/>
                <w:kern w:val="0"/>
                <w:sz w:val="21"/>
                <w:szCs w:val="21"/>
              </w:rPr>
            </w:pPr>
            <w:r>
              <w:rPr>
                <w:color w:val="auto"/>
                <w:kern w:val="0"/>
                <w:sz w:val="21"/>
                <w:szCs w:val="21"/>
              </w:rPr>
              <w:t>不具备完善的危险废物贮存、运输、利用、处置设施和风险防控措施</w:t>
            </w:r>
          </w:p>
        </w:tc>
        <w:tc>
          <w:tcPr>
            <w:tcW w:w="0" w:type="auto"/>
            <w:vAlign w:val="center"/>
          </w:tcPr>
          <w:p>
            <w:pPr>
              <w:ind w:firstLine="0" w:firstLineChars="0"/>
              <w:jc w:val="center"/>
              <w:rPr>
                <w:color w:val="auto"/>
                <w:kern w:val="0"/>
                <w:sz w:val="21"/>
                <w:szCs w:val="21"/>
              </w:rPr>
            </w:pPr>
            <w:r>
              <w:rPr>
                <w:color w:val="auto"/>
                <w:kern w:val="0"/>
                <w:sz w:val="21"/>
                <w:szCs w:val="21"/>
              </w:rPr>
              <w:t>10</w:t>
            </w:r>
          </w:p>
        </w:tc>
        <w:tc>
          <w:tcPr>
            <w:tcW w:w="0" w:type="auto"/>
            <w:vAlign w:val="center"/>
          </w:tcPr>
          <w:p>
            <w:pPr>
              <w:ind w:firstLine="0" w:firstLineChars="0"/>
              <w:jc w:val="center"/>
              <w:rPr>
                <w:color w:val="auto"/>
                <w:kern w:val="0"/>
                <w:sz w:val="21"/>
                <w:szCs w:val="21"/>
              </w:rPr>
            </w:pPr>
            <w:r>
              <w:rPr>
                <w:color w:val="auto"/>
                <w:kern w:val="0"/>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8" w:hRule="atLeast"/>
        </w:trPr>
        <w:tc>
          <w:tcPr>
            <w:tcW w:w="1129" w:type="dxa"/>
            <w:vMerge w:val="restart"/>
            <w:vAlign w:val="center"/>
          </w:tcPr>
          <w:p>
            <w:pPr>
              <w:spacing w:line="240" w:lineRule="auto"/>
              <w:ind w:firstLine="0" w:firstLineChars="0"/>
              <w:jc w:val="center"/>
              <w:rPr>
                <w:color w:val="auto"/>
                <w:kern w:val="0"/>
                <w:sz w:val="21"/>
                <w:szCs w:val="21"/>
              </w:rPr>
            </w:pPr>
            <w:r>
              <w:rPr>
                <w:color w:val="auto"/>
                <w:kern w:val="0"/>
                <w:sz w:val="21"/>
                <w:szCs w:val="21"/>
              </w:rPr>
              <w:t>近3年内突发水环境事件发生情况</w:t>
            </w:r>
          </w:p>
        </w:tc>
        <w:tc>
          <w:tcPr>
            <w:tcW w:w="6111" w:type="dxa"/>
            <w:vAlign w:val="center"/>
          </w:tcPr>
          <w:p>
            <w:pPr>
              <w:snapToGrid w:val="0"/>
              <w:spacing w:line="240" w:lineRule="auto"/>
              <w:ind w:firstLine="0" w:firstLineChars="0"/>
              <w:rPr>
                <w:color w:val="auto"/>
                <w:kern w:val="0"/>
                <w:sz w:val="21"/>
                <w:szCs w:val="21"/>
              </w:rPr>
            </w:pPr>
            <w:r>
              <w:rPr>
                <w:color w:val="auto"/>
                <w:kern w:val="0"/>
                <w:sz w:val="21"/>
                <w:szCs w:val="21"/>
              </w:rPr>
              <w:t>发生过特别重大及重大等级突发水环境事件的</w:t>
            </w:r>
          </w:p>
        </w:tc>
        <w:tc>
          <w:tcPr>
            <w:tcW w:w="0" w:type="auto"/>
            <w:vAlign w:val="center"/>
          </w:tcPr>
          <w:p>
            <w:pPr>
              <w:ind w:firstLine="0" w:firstLineChars="0"/>
              <w:jc w:val="center"/>
              <w:rPr>
                <w:color w:val="auto"/>
                <w:kern w:val="0"/>
                <w:sz w:val="21"/>
                <w:szCs w:val="21"/>
              </w:rPr>
            </w:pPr>
            <w:r>
              <w:rPr>
                <w:color w:val="auto"/>
                <w:kern w:val="0"/>
                <w:sz w:val="21"/>
                <w:szCs w:val="21"/>
              </w:rPr>
              <w:t>8</w:t>
            </w:r>
          </w:p>
        </w:tc>
        <w:tc>
          <w:tcPr>
            <w:tcW w:w="0" w:type="auto"/>
            <w:vAlign w:val="center"/>
          </w:tcPr>
          <w:p>
            <w:pPr>
              <w:ind w:firstLine="0" w:firstLineChars="0"/>
              <w:jc w:val="center"/>
              <w:rPr>
                <w:color w:val="auto"/>
                <w:kern w:val="0"/>
                <w:sz w:val="21"/>
                <w:szCs w:val="21"/>
              </w:rPr>
            </w:pPr>
            <w:r>
              <w:rPr>
                <w:color w:val="auto"/>
                <w:kern w:val="0"/>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9" w:hRule="atLeast"/>
        </w:trPr>
        <w:tc>
          <w:tcPr>
            <w:tcW w:w="1129" w:type="dxa"/>
            <w:vMerge w:val="continue"/>
            <w:vAlign w:val="center"/>
          </w:tcPr>
          <w:p>
            <w:pPr>
              <w:spacing w:line="240" w:lineRule="auto"/>
              <w:ind w:firstLine="0" w:firstLineChars="0"/>
              <w:jc w:val="center"/>
              <w:rPr>
                <w:color w:val="auto"/>
                <w:kern w:val="0"/>
                <w:sz w:val="21"/>
                <w:szCs w:val="21"/>
              </w:rPr>
            </w:pPr>
          </w:p>
        </w:tc>
        <w:tc>
          <w:tcPr>
            <w:tcW w:w="6111" w:type="dxa"/>
            <w:vAlign w:val="center"/>
          </w:tcPr>
          <w:p>
            <w:pPr>
              <w:snapToGrid w:val="0"/>
              <w:spacing w:line="240" w:lineRule="auto"/>
              <w:ind w:firstLine="0" w:firstLineChars="0"/>
              <w:rPr>
                <w:color w:val="auto"/>
                <w:kern w:val="0"/>
                <w:sz w:val="21"/>
                <w:szCs w:val="21"/>
              </w:rPr>
            </w:pPr>
            <w:r>
              <w:rPr>
                <w:color w:val="auto"/>
                <w:kern w:val="0"/>
                <w:sz w:val="21"/>
                <w:szCs w:val="21"/>
              </w:rPr>
              <w:t>发生过较大等级突发水环境事件的</w:t>
            </w:r>
          </w:p>
        </w:tc>
        <w:tc>
          <w:tcPr>
            <w:tcW w:w="0" w:type="auto"/>
            <w:vAlign w:val="center"/>
          </w:tcPr>
          <w:p>
            <w:pPr>
              <w:ind w:firstLine="0" w:firstLineChars="0"/>
              <w:jc w:val="center"/>
              <w:rPr>
                <w:color w:val="auto"/>
                <w:kern w:val="0"/>
                <w:sz w:val="21"/>
                <w:szCs w:val="21"/>
              </w:rPr>
            </w:pPr>
            <w:r>
              <w:rPr>
                <w:color w:val="auto"/>
                <w:kern w:val="0"/>
                <w:sz w:val="21"/>
                <w:szCs w:val="21"/>
              </w:rPr>
              <w:t>6</w:t>
            </w:r>
          </w:p>
        </w:tc>
        <w:tc>
          <w:tcPr>
            <w:tcW w:w="0" w:type="auto"/>
            <w:vAlign w:val="center"/>
          </w:tcPr>
          <w:p>
            <w:pPr>
              <w:ind w:firstLine="0" w:firstLineChars="0"/>
              <w:jc w:val="center"/>
              <w:rPr>
                <w:color w:val="auto"/>
                <w:kern w:val="0"/>
                <w:sz w:val="21"/>
                <w:szCs w:val="21"/>
              </w:rPr>
            </w:pPr>
            <w:r>
              <w:rPr>
                <w:color w:val="auto"/>
                <w:kern w:val="0"/>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continue"/>
            <w:vAlign w:val="center"/>
          </w:tcPr>
          <w:p>
            <w:pPr>
              <w:spacing w:line="240" w:lineRule="auto"/>
              <w:ind w:firstLine="0" w:firstLineChars="0"/>
              <w:jc w:val="center"/>
              <w:rPr>
                <w:color w:val="auto"/>
                <w:kern w:val="0"/>
                <w:sz w:val="21"/>
                <w:szCs w:val="21"/>
              </w:rPr>
            </w:pPr>
          </w:p>
        </w:tc>
        <w:tc>
          <w:tcPr>
            <w:tcW w:w="6111" w:type="dxa"/>
            <w:vAlign w:val="center"/>
          </w:tcPr>
          <w:p>
            <w:pPr>
              <w:snapToGrid w:val="0"/>
              <w:spacing w:line="240" w:lineRule="auto"/>
              <w:ind w:firstLine="0" w:firstLineChars="0"/>
              <w:rPr>
                <w:color w:val="auto"/>
                <w:kern w:val="0"/>
                <w:sz w:val="21"/>
                <w:szCs w:val="21"/>
              </w:rPr>
            </w:pPr>
            <w:r>
              <w:rPr>
                <w:color w:val="auto"/>
                <w:kern w:val="0"/>
                <w:sz w:val="21"/>
                <w:szCs w:val="21"/>
              </w:rPr>
              <w:t>发生过一般等级突发水环境事件的</w:t>
            </w:r>
          </w:p>
        </w:tc>
        <w:tc>
          <w:tcPr>
            <w:tcW w:w="0" w:type="auto"/>
            <w:vAlign w:val="center"/>
          </w:tcPr>
          <w:p>
            <w:pPr>
              <w:ind w:firstLine="0" w:firstLineChars="0"/>
              <w:jc w:val="center"/>
              <w:rPr>
                <w:color w:val="auto"/>
                <w:kern w:val="0"/>
                <w:sz w:val="21"/>
                <w:szCs w:val="21"/>
              </w:rPr>
            </w:pPr>
            <w:r>
              <w:rPr>
                <w:color w:val="auto"/>
                <w:kern w:val="0"/>
                <w:sz w:val="21"/>
                <w:szCs w:val="21"/>
              </w:rPr>
              <w:t>4</w:t>
            </w:r>
          </w:p>
        </w:tc>
        <w:tc>
          <w:tcPr>
            <w:tcW w:w="0" w:type="auto"/>
            <w:vAlign w:val="center"/>
          </w:tcPr>
          <w:p>
            <w:pPr>
              <w:ind w:firstLine="0" w:firstLineChars="0"/>
              <w:jc w:val="center"/>
              <w:rPr>
                <w:color w:val="auto"/>
                <w:kern w:val="0"/>
                <w:sz w:val="21"/>
                <w:szCs w:val="21"/>
              </w:rPr>
            </w:pPr>
            <w:r>
              <w:rPr>
                <w:color w:val="auto"/>
                <w:kern w:val="0"/>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1129" w:type="dxa"/>
            <w:vMerge w:val="continue"/>
            <w:vAlign w:val="center"/>
          </w:tcPr>
          <w:p>
            <w:pPr>
              <w:spacing w:line="240" w:lineRule="auto"/>
              <w:ind w:firstLine="0" w:firstLineChars="0"/>
              <w:jc w:val="center"/>
              <w:rPr>
                <w:color w:val="auto"/>
                <w:kern w:val="0"/>
                <w:sz w:val="21"/>
                <w:szCs w:val="21"/>
              </w:rPr>
            </w:pPr>
          </w:p>
        </w:tc>
        <w:tc>
          <w:tcPr>
            <w:tcW w:w="6111" w:type="dxa"/>
            <w:vAlign w:val="center"/>
          </w:tcPr>
          <w:p>
            <w:pPr>
              <w:snapToGrid w:val="0"/>
              <w:spacing w:line="240" w:lineRule="auto"/>
              <w:ind w:firstLine="0" w:firstLineChars="0"/>
              <w:rPr>
                <w:color w:val="auto"/>
                <w:kern w:val="0"/>
                <w:sz w:val="21"/>
                <w:szCs w:val="21"/>
              </w:rPr>
            </w:pPr>
            <w:r>
              <w:rPr>
                <w:color w:val="auto"/>
                <w:kern w:val="0"/>
                <w:sz w:val="21"/>
                <w:szCs w:val="21"/>
              </w:rPr>
              <w:t>未发生突发水环境事件的</w:t>
            </w:r>
          </w:p>
        </w:tc>
        <w:tc>
          <w:tcPr>
            <w:tcW w:w="0" w:type="auto"/>
            <w:vAlign w:val="center"/>
          </w:tcPr>
          <w:p>
            <w:pPr>
              <w:ind w:firstLine="0" w:firstLineChars="0"/>
              <w:jc w:val="center"/>
              <w:rPr>
                <w:color w:val="auto"/>
                <w:kern w:val="0"/>
                <w:sz w:val="21"/>
                <w:szCs w:val="21"/>
              </w:rPr>
            </w:pPr>
            <w:r>
              <w:rPr>
                <w:color w:val="auto"/>
                <w:kern w:val="0"/>
                <w:sz w:val="21"/>
                <w:szCs w:val="21"/>
              </w:rPr>
              <w:t>0</w:t>
            </w:r>
          </w:p>
        </w:tc>
        <w:tc>
          <w:tcPr>
            <w:tcW w:w="0" w:type="auto"/>
            <w:vAlign w:val="center"/>
          </w:tcPr>
          <w:p>
            <w:pPr>
              <w:ind w:firstLine="0" w:firstLineChars="0"/>
              <w:jc w:val="center"/>
              <w:rPr>
                <w:color w:val="auto"/>
                <w:kern w:val="0"/>
                <w:sz w:val="21"/>
                <w:szCs w:val="21"/>
              </w:rPr>
            </w:pPr>
            <w:r>
              <w:rPr>
                <w:color w:val="auto"/>
                <w:kern w:val="0"/>
                <w:sz w:val="21"/>
                <w:szCs w:val="21"/>
              </w:rP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0" w:hRule="atLeast"/>
        </w:trPr>
        <w:tc>
          <w:tcPr>
            <w:tcW w:w="8512" w:type="dxa"/>
            <w:gridSpan w:val="4"/>
            <w:vAlign w:val="center"/>
          </w:tcPr>
          <w:p>
            <w:pPr>
              <w:spacing w:line="240" w:lineRule="auto"/>
              <w:ind w:firstLine="0" w:firstLineChars="0"/>
              <w:jc w:val="center"/>
              <w:rPr>
                <w:color w:val="auto"/>
                <w:kern w:val="0"/>
                <w:sz w:val="21"/>
                <w:szCs w:val="21"/>
              </w:rPr>
            </w:pPr>
            <w:r>
              <w:rPr>
                <w:color w:val="auto"/>
                <w:kern w:val="0"/>
                <w:sz w:val="21"/>
                <w:szCs w:val="21"/>
              </w:rPr>
              <w:t>注：本表中相关规范具体指GB50483、GB50160、GB50351、GB50747、SH3015</w:t>
            </w:r>
          </w:p>
        </w:tc>
      </w:tr>
    </w:tbl>
    <w:p>
      <w:pPr>
        <w:adjustRightInd w:val="0"/>
        <w:snapToGrid w:val="0"/>
        <w:spacing w:before="156" w:beforeLines="50" w:line="240" w:lineRule="auto"/>
        <w:ind w:firstLine="0" w:firstLineChars="0"/>
        <w:jc w:val="center"/>
        <w:rPr>
          <w:rFonts w:eastAsia="黑体"/>
          <w:color w:val="auto"/>
          <w:sz w:val="21"/>
        </w:rPr>
      </w:pPr>
    </w:p>
    <w:p>
      <w:pPr>
        <w:pStyle w:val="28"/>
      </w:pPr>
    </w:p>
    <w:p>
      <w:pPr>
        <w:pStyle w:val="55"/>
        <w:rPr>
          <w:color w:val="auto"/>
          <w:sz w:val="21"/>
          <w:szCs w:val="21"/>
        </w:rPr>
      </w:pPr>
      <w:r>
        <w:rPr>
          <w:color w:val="auto"/>
          <w:sz w:val="21"/>
          <w:szCs w:val="21"/>
        </w:rPr>
        <w:t>表7.3-4  企业生产工艺过程与环境风险控制水平类型划分</w:t>
      </w:r>
    </w:p>
    <w:tbl>
      <w:tblPr>
        <w:tblStyle w:val="74"/>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4151"/>
        <w:gridCol w:w="41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151" w:type="dxa"/>
          </w:tcPr>
          <w:p>
            <w:pPr>
              <w:spacing w:line="240" w:lineRule="auto"/>
              <w:ind w:firstLine="0" w:firstLineChars="0"/>
              <w:jc w:val="center"/>
              <w:rPr>
                <w:color w:val="auto"/>
                <w:kern w:val="0"/>
                <w:sz w:val="21"/>
                <w:szCs w:val="21"/>
              </w:rPr>
            </w:pPr>
            <w:r>
              <w:rPr>
                <w:color w:val="auto"/>
                <w:kern w:val="0"/>
                <w:sz w:val="21"/>
                <w:szCs w:val="21"/>
              </w:rPr>
              <w:t>生产工艺过程与环境风险控制</w:t>
            </w:r>
          </w:p>
          <w:p>
            <w:pPr>
              <w:spacing w:line="240" w:lineRule="auto"/>
              <w:ind w:firstLine="0" w:firstLineChars="0"/>
              <w:jc w:val="center"/>
              <w:rPr>
                <w:color w:val="auto"/>
                <w:kern w:val="0"/>
                <w:sz w:val="21"/>
                <w:szCs w:val="21"/>
              </w:rPr>
            </w:pPr>
            <w:r>
              <w:rPr>
                <w:color w:val="auto"/>
                <w:kern w:val="0"/>
                <w:sz w:val="21"/>
                <w:szCs w:val="21"/>
              </w:rPr>
              <w:t>水平值</w:t>
            </w:r>
          </w:p>
        </w:tc>
        <w:tc>
          <w:tcPr>
            <w:tcW w:w="4151" w:type="dxa"/>
          </w:tcPr>
          <w:p>
            <w:pPr>
              <w:spacing w:line="240" w:lineRule="auto"/>
              <w:ind w:firstLine="0" w:firstLineChars="0"/>
              <w:jc w:val="center"/>
              <w:rPr>
                <w:color w:val="auto"/>
                <w:kern w:val="0"/>
                <w:sz w:val="21"/>
                <w:szCs w:val="21"/>
              </w:rPr>
            </w:pPr>
            <w:r>
              <w:rPr>
                <w:color w:val="auto"/>
                <w:kern w:val="0"/>
                <w:sz w:val="21"/>
                <w:szCs w:val="21"/>
              </w:rPr>
              <w:t>生产工艺过程与环境风险控制</w:t>
            </w:r>
          </w:p>
          <w:p>
            <w:pPr>
              <w:spacing w:line="240" w:lineRule="auto"/>
              <w:ind w:firstLine="0" w:firstLineChars="0"/>
              <w:jc w:val="center"/>
              <w:rPr>
                <w:color w:val="auto"/>
                <w:kern w:val="0"/>
                <w:sz w:val="21"/>
                <w:szCs w:val="21"/>
              </w:rPr>
            </w:pPr>
            <w:r>
              <w:rPr>
                <w:color w:val="auto"/>
                <w:kern w:val="0"/>
                <w:sz w:val="21"/>
                <w:szCs w:val="21"/>
              </w:rPr>
              <w:t>水平类型</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151" w:type="dxa"/>
          </w:tcPr>
          <w:p>
            <w:pPr>
              <w:spacing w:line="240" w:lineRule="auto"/>
              <w:ind w:firstLine="0" w:firstLineChars="0"/>
              <w:jc w:val="center"/>
              <w:rPr>
                <w:color w:val="auto"/>
                <w:kern w:val="0"/>
                <w:sz w:val="21"/>
                <w:szCs w:val="21"/>
              </w:rPr>
            </w:pPr>
            <w:r>
              <w:rPr>
                <w:color w:val="auto"/>
                <w:kern w:val="0"/>
                <w:sz w:val="21"/>
                <w:szCs w:val="21"/>
              </w:rPr>
              <w:t>M＜25</w:t>
            </w:r>
          </w:p>
        </w:tc>
        <w:tc>
          <w:tcPr>
            <w:tcW w:w="4151" w:type="dxa"/>
          </w:tcPr>
          <w:p>
            <w:pPr>
              <w:spacing w:line="240" w:lineRule="auto"/>
              <w:ind w:firstLine="0" w:firstLineChars="0"/>
              <w:jc w:val="center"/>
              <w:rPr>
                <w:color w:val="auto"/>
                <w:kern w:val="0"/>
                <w:sz w:val="21"/>
                <w:szCs w:val="21"/>
              </w:rPr>
            </w:pPr>
            <w:r>
              <w:rPr>
                <w:color w:val="auto"/>
                <w:kern w:val="0"/>
                <w:sz w:val="21"/>
                <w:szCs w:val="21"/>
              </w:rPr>
              <w:t>M1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151" w:type="dxa"/>
          </w:tcPr>
          <w:p>
            <w:pPr>
              <w:spacing w:line="240" w:lineRule="auto"/>
              <w:ind w:firstLine="0" w:firstLineChars="0"/>
              <w:jc w:val="center"/>
              <w:rPr>
                <w:color w:val="auto"/>
                <w:kern w:val="0"/>
                <w:sz w:val="21"/>
                <w:szCs w:val="21"/>
              </w:rPr>
            </w:pPr>
            <w:r>
              <w:rPr>
                <w:color w:val="auto"/>
                <w:kern w:val="0"/>
                <w:sz w:val="21"/>
                <w:szCs w:val="21"/>
              </w:rPr>
              <w:t>25≤M＜45</w:t>
            </w:r>
          </w:p>
        </w:tc>
        <w:tc>
          <w:tcPr>
            <w:tcW w:w="4151" w:type="dxa"/>
          </w:tcPr>
          <w:p>
            <w:pPr>
              <w:spacing w:line="240" w:lineRule="auto"/>
              <w:ind w:firstLine="0" w:firstLineChars="0"/>
              <w:jc w:val="center"/>
              <w:rPr>
                <w:color w:val="auto"/>
                <w:kern w:val="0"/>
                <w:sz w:val="21"/>
                <w:szCs w:val="21"/>
              </w:rPr>
            </w:pPr>
            <w:r>
              <w:rPr>
                <w:color w:val="auto"/>
                <w:kern w:val="0"/>
                <w:sz w:val="21"/>
                <w:szCs w:val="21"/>
              </w:rPr>
              <w:t>M2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151" w:type="dxa"/>
          </w:tcPr>
          <w:p>
            <w:pPr>
              <w:spacing w:line="240" w:lineRule="auto"/>
              <w:ind w:firstLine="0" w:firstLineChars="0"/>
              <w:jc w:val="center"/>
              <w:rPr>
                <w:color w:val="auto"/>
                <w:kern w:val="0"/>
                <w:sz w:val="21"/>
                <w:szCs w:val="21"/>
              </w:rPr>
            </w:pPr>
            <w:r>
              <w:rPr>
                <w:color w:val="auto"/>
                <w:kern w:val="0"/>
                <w:sz w:val="21"/>
                <w:szCs w:val="21"/>
              </w:rPr>
              <w:t>45≤M＜60</w:t>
            </w:r>
          </w:p>
        </w:tc>
        <w:tc>
          <w:tcPr>
            <w:tcW w:w="4151" w:type="dxa"/>
          </w:tcPr>
          <w:p>
            <w:pPr>
              <w:spacing w:line="240" w:lineRule="auto"/>
              <w:ind w:firstLine="0" w:firstLineChars="0"/>
              <w:jc w:val="center"/>
              <w:rPr>
                <w:color w:val="auto"/>
                <w:kern w:val="0"/>
                <w:sz w:val="21"/>
                <w:szCs w:val="21"/>
              </w:rPr>
            </w:pPr>
            <w:r>
              <w:rPr>
                <w:color w:val="auto"/>
                <w:kern w:val="0"/>
                <w:sz w:val="21"/>
                <w:szCs w:val="21"/>
              </w:rPr>
              <w:t>M3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4151" w:type="dxa"/>
          </w:tcPr>
          <w:p>
            <w:pPr>
              <w:spacing w:line="240" w:lineRule="auto"/>
              <w:ind w:firstLine="0" w:firstLineChars="0"/>
              <w:jc w:val="center"/>
              <w:rPr>
                <w:color w:val="auto"/>
                <w:kern w:val="0"/>
                <w:sz w:val="21"/>
                <w:szCs w:val="21"/>
              </w:rPr>
            </w:pPr>
            <w:r>
              <w:rPr>
                <w:color w:val="auto"/>
                <w:kern w:val="0"/>
                <w:sz w:val="21"/>
                <w:szCs w:val="21"/>
              </w:rPr>
              <w:t>M≥65</w:t>
            </w:r>
          </w:p>
        </w:tc>
        <w:tc>
          <w:tcPr>
            <w:tcW w:w="4151" w:type="dxa"/>
          </w:tcPr>
          <w:p>
            <w:pPr>
              <w:spacing w:line="240" w:lineRule="auto"/>
              <w:ind w:firstLine="0" w:firstLineChars="0"/>
              <w:jc w:val="center"/>
              <w:rPr>
                <w:color w:val="auto"/>
                <w:kern w:val="0"/>
                <w:sz w:val="21"/>
                <w:szCs w:val="21"/>
              </w:rPr>
            </w:pPr>
            <w:r>
              <w:rPr>
                <w:color w:val="auto"/>
                <w:kern w:val="0"/>
                <w:sz w:val="21"/>
                <w:szCs w:val="21"/>
              </w:rPr>
              <w:t>M4</w:t>
            </w:r>
          </w:p>
        </w:tc>
      </w:tr>
    </w:tbl>
    <w:p>
      <w:pPr>
        <w:pStyle w:val="71"/>
        <w:ind w:firstLine="560"/>
        <w:rPr>
          <w:color w:val="auto"/>
        </w:rPr>
      </w:pPr>
      <w:r>
        <w:rPr>
          <w:color w:val="auto"/>
        </w:rPr>
        <w:t>根据生产工艺过程与风险控制水平对照表得知，</w:t>
      </w:r>
      <w:bookmarkStart w:id="192" w:name="_Hlk70539938"/>
      <w:r>
        <w:rPr>
          <w:color w:val="auto"/>
        </w:rPr>
        <w:t>本工程生产工艺过程与水环境风险控制水平属于M1类型。</w:t>
      </w:r>
    </w:p>
    <w:bookmarkEnd w:id="192"/>
    <w:p>
      <w:pPr>
        <w:keepNext/>
        <w:keepLines/>
        <w:ind w:firstLine="0" w:firstLineChars="0"/>
        <w:outlineLvl w:val="2"/>
        <w:rPr>
          <w:b/>
          <w:bCs/>
          <w:color w:val="auto"/>
          <w:szCs w:val="28"/>
        </w:rPr>
      </w:pPr>
      <w:r>
        <w:rPr>
          <w:b/>
          <w:bCs/>
          <w:color w:val="auto"/>
          <w:szCs w:val="28"/>
        </w:rPr>
        <w:t>7.3.3 水环境风险受体敏感程度（E）评估</w:t>
      </w:r>
    </w:p>
    <w:p>
      <w:pPr>
        <w:pStyle w:val="71"/>
        <w:ind w:firstLine="560"/>
        <w:rPr>
          <w:color w:val="auto"/>
        </w:rPr>
      </w:pPr>
      <w:r>
        <w:rPr>
          <w:color w:val="auto"/>
        </w:rPr>
        <w:t>按照水环境风险受体敏感程度，同时考虑河流跨界的情况和可能造成土壤污染的情况，将水环境风险受体敏感程度类型划分为类型1、类型2和类型3，分别以E1、E2和E3表示，见表7.3-5。</w:t>
      </w:r>
    </w:p>
    <w:p>
      <w:pPr>
        <w:pStyle w:val="71"/>
        <w:ind w:firstLine="560"/>
        <w:rPr>
          <w:color w:val="auto"/>
        </w:rPr>
      </w:pPr>
      <w:r>
        <w:rPr>
          <w:color w:val="auto"/>
        </w:rPr>
        <w:t>水环境风险受体敏感程度按类型1、类型2和类型3顺序依次降低。若企业周边存在多种敏感程度类型的水环境风险受体，则按敏感程度高者确定企业水环境风险受体敏感程度类型。</w:t>
      </w:r>
    </w:p>
    <w:p>
      <w:pPr>
        <w:pStyle w:val="55"/>
        <w:rPr>
          <w:color w:val="auto"/>
          <w:sz w:val="21"/>
          <w:szCs w:val="21"/>
        </w:rPr>
      </w:pPr>
      <w:r>
        <w:rPr>
          <w:color w:val="auto"/>
          <w:sz w:val="21"/>
          <w:szCs w:val="21"/>
        </w:rPr>
        <w:t>表7.3-5  水环境风险受体敏感程度类型划分</w:t>
      </w:r>
    </w:p>
    <w:tbl>
      <w:tblPr>
        <w:tblStyle w:val="75"/>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001"/>
        <w:gridCol w:w="752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Align w:val="center"/>
          </w:tcPr>
          <w:p>
            <w:pPr>
              <w:pStyle w:val="56"/>
              <w:rPr>
                <w:color w:val="auto"/>
                <w:sz w:val="21"/>
                <w:szCs w:val="21"/>
              </w:rPr>
            </w:pPr>
            <w:r>
              <w:rPr>
                <w:color w:val="auto"/>
                <w:sz w:val="21"/>
                <w:szCs w:val="21"/>
              </w:rPr>
              <w:t>敏感程度类型</w:t>
            </w:r>
          </w:p>
        </w:tc>
        <w:tc>
          <w:tcPr>
            <w:tcW w:w="0" w:type="auto"/>
            <w:vAlign w:val="center"/>
          </w:tcPr>
          <w:p>
            <w:pPr>
              <w:pStyle w:val="56"/>
              <w:rPr>
                <w:color w:val="auto"/>
                <w:sz w:val="21"/>
                <w:szCs w:val="21"/>
              </w:rPr>
            </w:pPr>
            <w:r>
              <w:rPr>
                <w:color w:val="auto"/>
                <w:sz w:val="21"/>
                <w:szCs w:val="21"/>
              </w:rPr>
              <w:t>水环境风险受体</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Align w:val="center"/>
          </w:tcPr>
          <w:p>
            <w:pPr>
              <w:pStyle w:val="56"/>
              <w:rPr>
                <w:color w:val="auto"/>
                <w:sz w:val="21"/>
                <w:szCs w:val="21"/>
              </w:rPr>
            </w:pPr>
            <w:r>
              <w:rPr>
                <w:color w:val="auto"/>
                <w:sz w:val="21"/>
                <w:szCs w:val="21"/>
              </w:rPr>
              <w:t>类型1（E1）</w:t>
            </w:r>
          </w:p>
        </w:tc>
        <w:tc>
          <w:tcPr>
            <w:tcW w:w="0" w:type="auto"/>
            <w:vAlign w:val="center"/>
          </w:tcPr>
          <w:p>
            <w:pPr>
              <w:pStyle w:val="56"/>
              <w:jc w:val="both"/>
              <w:rPr>
                <w:color w:val="auto"/>
                <w:sz w:val="21"/>
                <w:szCs w:val="21"/>
              </w:rPr>
            </w:pPr>
            <w:r>
              <w:rPr>
                <w:color w:val="auto"/>
                <w:sz w:val="21"/>
                <w:szCs w:val="21"/>
              </w:rPr>
              <w:t>（1）企业雨水排口、清净废水排口、污水排口下游10公里流经范围内有如下一类或多类环境风险受体：集中式地表水、地下水饮用水水源保护区（包括一级保护区、二级保护区及准保护区）；农村及分散式饮用水水源保护区；</w:t>
            </w:r>
          </w:p>
          <w:p>
            <w:pPr>
              <w:pStyle w:val="56"/>
              <w:jc w:val="both"/>
              <w:rPr>
                <w:color w:val="auto"/>
                <w:sz w:val="21"/>
                <w:szCs w:val="21"/>
              </w:rPr>
            </w:pPr>
            <w:r>
              <w:rPr>
                <w:color w:val="auto"/>
                <w:sz w:val="21"/>
                <w:szCs w:val="21"/>
              </w:rPr>
              <w:t>（2）废水排入受纳水体后24小时流经范围（按受纳河流最大日均流速计算）内涉及跨国界的</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Align w:val="center"/>
          </w:tcPr>
          <w:p>
            <w:pPr>
              <w:pStyle w:val="56"/>
              <w:rPr>
                <w:color w:val="auto"/>
                <w:sz w:val="21"/>
                <w:szCs w:val="21"/>
              </w:rPr>
            </w:pPr>
            <w:r>
              <w:rPr>
                <w:color w:val="auto"/>
                <w:sz w:val="21"/>
                <w:szCs w:val="21"/>
              </w:rPr>
              <w:t>类型2（E2）</w:t>
            </w:r>
          </w:p>
        </w:tc>
        <w:tc>
          <w:tcPr>
            <w:tcW w:w="0" w:type="auto"/>
            <w:vAlign w:val="center"/>
          </w:tcPr>
          <w:p>
            <w:pPr>
              <w:pStyle w:val="56"/>
              <w:jc w:val="both"/>
              <w:rPr>
                <w:color w:val="auto"/>
                <w:sz w:val="21"/>
                <w:szCs w:val="21"/>
              </w:rPr>
            </w:pPr>
            <w:r>
              <w:rPr>
                <w:color w:val="auto"/>
                <w:sz w:val="21"/>
                <w:szCs w:val="21"/>
              </w:rPr>
              <w:t>（1）企业雨水排口、清净废水排口、污水排口下游10公里流经范围内有生态保护红线划定的或具有水生态服务功能的其他水生态环境敏感区和脆弱区，如国家公园，国家级和省级水产种质资源保护区，水产养殖区，天然渔场，海水浴场，盐场保护区，国家重要湿地，国家级和地方级海洋特别保护区，国家级和地方级海洋自然保护区，生物多样性保护优先区域，国家级和地方级自然保护区，国家级和省级风景名胜区，世界文化和自然遗产地，国家级和省级森林公园，世界、国家和省级地质公园，基本农田保护区，基本草原；</w:t>
            </w:r>
          </w:p>
          <w:p>
            <w:pPr>
              <w:pStyle w:val="56"/>
              <w:jc w:val="both"/>
              <w:rPr>
                <w:color w:val="auto"/>
                <w:sz w:val="21"/>
                <w:szCs w:val="21"/>
              </w:rPr>
            </w:pPr>
            <w:r>
              <w:rPr>
                <w:color w:val="auto"/>
                <w:sz w:val="21"/>
                <w:szCs w:val="21"/>
              </w:rPr>
              <w:t>（2）企业雨水排口、清净废水排口、污水排口下游10公里流经范围内涉及跨省界的；</w:t>
            </w:r>
          </w:p>
          <w:p>
            <w:pPr>
              <w:pStyle w:val="56"/>
              <w:jc w:val="both"/>
              <w:rPr>
                <w:color w:val="auto"/>
                <w:sz w:val="21"/>
                <w:szCs w:val="21"/>
              </w:rPr>
            </w:pPr>
            <w:r>
              <w:rPr>
                <w:color w:val="auto"/>
                <w:sz w:val="21"/>
                <w:szCs w:val="21"/>
              </w:rPr>
              <w:t>（3）企业位于溶岩地貌、泄洪区、泥石流多发等地区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Align w:val="center"/>
          </w:tcPr>
          <w:p>
            <w:pPr>
              <w:pStyle w:val="56"/>
              <w:rPr>
                <w:color w:val="auto"/>
                <w:sz w:val="21"/>
                <w:szCs w:val="21"/>
              </w:rPr>
            </w:pPr>
            <w:r>
              <w:rPr>
                <w:color w:val="auto"/>
                <w:sz w:val="21"/>
                <w:szCs w:val="21"/>
              </w:rPr>
              <w:t>类型3（E3）</w:t>
            </w:r>
          </w:p>
        </w:tc>
        <w:tc>
          <w:tcPr>
            <w:tcW w:w="0" w:type="auto"/>
            <w:vAlign w:val="center"/>
          </w:tcPr>
          <w:p>
            <w:pPr>
              <w:pStyle w:val="56"/>
              <w:rPr>
                <w:color w:val="auto"/>
                <w:sz w:val="21"/>
                <w:szCs w:val="21"/>
              </w:rPr>
            </w:pPr>
            <w:r>
              <w:rPr>
                <w:color w:val="auto"/>
                <w:sz w:val="21"/>
                <w:szCs w:val="21"/>
              </w:rPr>
              <w:t>不涉及类型1和类型2情况的</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gridSpan w:val="2"/>
            <w:vAlign w:val="center"/>
          </w:tcPr>
          <w:p>
            <w:pPr>
              <w:pStyle w:val="56"/>
              <w:rPr>
                <w:color w:val="auto"/>
                <w:sz w:val="21"/>
                <w:szCs w:val="21"/>
              </w:rPr>
            </w:pPr>
            <w:r>
              <w:rPr>
                <w:color w:val="auto"/>
                <w:sz w:val="21"/>
                <w:szCs w:val="21"/>
              </w:rPr>
              <w:t>注：本表中规定的距离范围以到各类水环境保护目标或保护区域的边界为准</w:t>
            </w:r>
          </w:p>
        </w:tc>
      </w:tr>
    </w:tbl>
    <w:p>
      <w:pPr>
        <w:widowControl/>
        <w:spacing w:line="240" w:lineRule="auto"/>
        <w:ind w:firstLine="0" w:firstLineChars="0"/>
        <w:jc w:val="left"/>
        <w:rPr>
          <w:rFonts w:eastAsia="黑体"/>
          <w:color w:val="auto"/>
          <w:sz w:val="21"/>
        </w:rPr>
      </w:pPr>
    </w:p>
    <w:p>
      <w:pPr>
        <w:pStyle w:val="71"/>
        <w:ind w:firstLine="560"/>
        <w:rPr>
          <w:color w:val="auto"/>
        </w:rPr>
      </w:pPr>
      <w:r>
        <w:rPr>
          <w:color w:val="auto"/>
        </w:rPr>
        <w:t>对照工程沿线周边主要的保护目标，</w:t>
      </w:r>
      <w:r>
        <w:rPr>
          <w:rFonts w:hint="eastAsia"/>
          <w:color w:val="000000" w:themeColor="text1"/>
          <w14:textFill>
            <w14:solidFill>
              <w14:schemeClr w14:val="tx1"/>
            </w14:solidFill>
          </w14:textFill>
        </w:rPr>
        <w:t>本项目</w:t>
      </w:r>
      <w:r>
        <w:rPr>
          <w:rFonts w:hint="eastAsia"/>
          <w:color w:val="000000" w:themeColor="text1"/>
          <w:lang w:eastAsia="zh-CN"/>
          <w14:textFill>
            <w14:solidFill>
              <w14:schemeClr w14:val="tx1"/>
            </w14:solidFill>
          </w14:textFill>
        </w:rPr>
        <w:t>中田王立交位于灞河地下水源二级保护区内</w:t>
      </w:r>
      <w:r>
        <w:rPr>
          <w:rFonts w:hint="eastAsia"/>
          <w:color w:val="000000" w:themeColor="text1"/>
          <w14:textFill>
            <w14:solidFill>
              <w14:schemeClr w14:val="tx1"/>
            </w14:solidFill>
          </w14:textFill>
        </w:rPr>
        <w:t>，</w:t>
      </w:r>
      <w:r>
        <w:rPr>
          <w:rFonts w:hint="eastAsia"/>
          <w:color w:val="000000" w:themeColor="text1"/>
          <w:highlight w:val="none"/>
          <w:lang w:eastAsia="zh-CN"/>
          <w14:textFill>
            <w14:solidFill>
              <w14:schemeClr w14:val="tx1"/>
            </w14:solidFill>
          </w14:textFill>
        </w:rPr>
        <w:t>全线均设置径流收集管和事故池，路基段设置路基排水沟进入市政管网</w:t>
      </w:r>
      <w:r>
        <w:rPr>
          <w:color w:val="auto"/>
          <w:highlight w:val="none"/>
        </w:rPr>
        <w:t>。</w:t>
      </w:r>
      <w:r>
        <w:rPr>
          <w:color w:val="auto"/>
        </w:rPr>
        <w:t>符合类型1（E1）中“企业雨水排口、清净废水排口、污水排口下游10公里流经范围内有如下一类或多类环境风险受体：集中式地表水、地下水饮用水水源保护区（包括一级保护区、二级保护区及准保护区）”，</w:t>
      </w:r>
      <w:bookmarkStart w:id="193" w:name="_Hlk70539989"/>
      <w:r>
        <w:rPr>
          <w:color w:val="auto"/>
        </w:rPr>
        <w:t>故本项目的水环境风险受体敏感程度为类型1（E1）。</w:t>
      </w:r>
    </w:p>
    <w:bookmarkEnd w:id="193"/>
    <w:p>
      <w:pPr>
        <w:keepNext/>
        <w:keepLines/>
        <w:ind w:firstLine="0" w:firstLineChars="0"/>
        <w:outlineLvl w:val="2"/>
        <w:rPr>
          <w:b/>
          <w:bCs/>
          <w:color w:val="auto"/>
          <w:szCs w:val="28"/>
        </w:rPr>
      </w:pPr>
      <w:r>
        <w:rPr>
          <w:b/>
          <w:bCs/>
          <w:color w:val="auto"/>
          <w:szCs w:val="28"/>
        </w:rPr>
        <w:t>7.3.4 突发水环境事件风险等级确定</w:t>
      </w:r>
    </w:p>
    <w:p>
      <w:pPr>
        <w:pStyle w:val="71"/>
        <w:ind w:firstLine="560"/>
        <w:rPr>
          <w:color w:val="auto"/>
        </w:rPr>
      </w:pPr>
      <w:r>
        <w:rPr>
          <w:color w:val="auto"/>
        </w:rPr>
        <w:t>根据企业周边水环境风险受体敏感程度（E）、涉水风险物质数量与临界量比值（Q）和生产工艺过程与大气环境风险控制水平（M），按照《企业突发环境事件风险分级方法》（HJ941-2018）中的表5确定本项目突发水环境风险等级。</w:t>
      </w:r>
    </w:p>
    <w:p>
      <w:pPr>
        <w:pStyle w:val="55"/>
        <w:rPr>
          <w:color w:val="auto"/>
          <w:sz w:val="21"/>
          <w:szCs w:val="21"/>
        </w:rPr>
      </w:pPr>
      <w:r>
        <w:rPr>
          <w:color w:val="auto"/>
          <w:sz w:val="21"/>
          <w:szCs w:val="21"/>
        </w:rPr>
        <w:t>表7.3-6  企业突发环境事件风险分级矩阵表</w:t>
      </w:r>
    </w:p>
    <w:tbl>
      <w:tblPr>
        <w:tblStyle w:val="76"/>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2190"/>
        <w:gridCol w:w="2491"/>
        <w:gridCol w:w="960"/>
        <w:gridCol w:w="960"/>
        <w:gridCol w:w="960"/>
        <w:gridCol w:w="96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Merge w:val="restart"/>
            <w:vAlign w:val="center"/>
          </w:tcPr>
          <w:p>
            <w:pPr>
              <w:pStyle w:val="56"/>
              <w:jc w:val="both"/>
              <w:rPr>
                <w:color w:val="auto"/>
                <w:sz w:val="21"/>
                <w:szCs w:val="21"/>
              </w:rPr>
            </w:pPr>
            <w:r>
              <w:rPr>
                <w:color w:val="auto"/>
                <w:sz w:val="21"/>
                <w:szCs w:val="21"/>
              </w:rPr>
              <w:t>环境风险受体敏感程度（E）</w:t>
            </w:r>
          </w:p>
        </w:tc>
        <w:tc>
          <w:tcPr>
            <w:tcW w:w="0" w:type="auto"/>
            <w:vMerge w:val="restart"/>
            <w:vAlign w:val="center"/>
          </w:tcPr>
          <w:p>
            <w:pPr>
              <w:pStyle w:val="56"/>
              <w:jc w:val="both"/>
              <w:rPr>
                <w:color w:val="auto"/>
                <w:sz w:val="21"/>
                <w:szCs w:val="21"/>
              </w:rPr>
            </w:pPr>
            <w:r>
              <w:rPr>
                <w:color w:val="auto"/>
                <w:sz w:val="21"/>
                <w:szCs w:val="21"/>
              </w:rPr>
              <w:t>风险物质数量与临界量比值（Q）</w:t>
            </w:r>
          </w:p>
        </w:tc>
        <w:tc>
          <w:tcPr>
            <w:tcW w:w="0" w:type="auto"/>
            <w:gridSpan w:val="4"/>
            <w:vAlign w:val="center"/>
          </w:tcPr>
          <w:p>
            <w:pPr>
              <w:pStyle w:val="56"/>
              <w:jc w:val="both"/>
              <w:rPr>
                <w:color w:val="auto"/>
                <w:sz w:val="21"/>
                <w:szCs w:val="21"/>
              </w:rPr>
            </w:pPr>
            <w:r>
              <w:rPr>
                <w:color w:val="auto"/>
                <w:sz w:val="21"/>
                <w:szCs w:val="21"/>
              </w:rPr>
              <w:t>生产工艺过程与环境风险控制水平（M）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Merge w:val="continue"/>
            <w:vAlign w:val="center"/>
          </w:tcPr>
          <w:p>
            <w:pPr>
              <w:pStyle w:val="56"/>
              <w:jc w:val="both"/>
              <w:rPr>
                <w:color w:val="auto"/>
                <w:sz w:val="21"/>
                <w:szCs w:val="21"/>
              </w:rPr>
            </w:pPr>
          </w:p>
        </w:tc>
        <w:tc>
          <w:tcPr>
            <w:tcW w:w="0" w:type="auto"/>
            <w:vMerge w:val="continue"/>
            <w:vAlign w:val="center"/>
          </w:tcPr>
          <w:p>
            <w:pPr>
              <w:pStyle w:val="56"/>
              <w:jc w:val="both"/>
              <w:rPr>
                <w:color w:val="auto"/>
                <w:sz w:val="21"/>
                <w:szCs w:val="21"/>
              </w:rPr>
            </w:pPr>
          </w:p>
        </w:tc>
        <w:tc>
          <w:tcPr>
            <w:tcW w:w="0" w:type="auto"/>
            <w:vAlign w:val="center"/>
          </w:tcPr>
          <w:p>
            <w:pPr>
              <w:pStyle w:val="56"/>
              <w:jc w:val="both"/>
              <w:rPr>
                <w:color w:val="auto"/>
                <w:sz w:val="21"/>
                <w:szCs w:val="21"/>
              </w:rPr>
            </w:pPr>
            <w:r>
              <w:rPr>
                <w:color w:val="auto"/>
                <w:sz w:val="21"/>
                <w:szCs w:val="21"/>
              </w:rPr>
              <w:t>M1类水平</w:t>
            </w:r>
          </w:p>
        </w:tc>
        <w:tc>
          <w:tcPr>
            <w:tcW w:w="0" w:type="auto"/>
            <w:vAlign w:val="center"/>
          </w:tcPr>
          <w:p>
            <w:pPr>
              <w:pStyle w:val="56"/>
              <w:jc w:val="both"/>
              <w:rPr>
                <w:color w:val="auto"/>
                <w:sz w:val="21"/>
                <w:szCs w:val="21"/>
              </w:rPr>
            </w:pPr>
            <w:r>
              <w:rPr>
                <w:color w:val="auto"/>
                <w:sz w:val="21"/>
                <w:szCs w:val="21"/>
              </w:rPr>
              <w:t>M2类水平</w:t>
            </w:r>
          </w:p>
        </w:tc>
        <w:tc>
          <w:tcPr>
            <w:tcW w:w="0" w:type="auto"/>
            <w:vAlign w:val="center"/>
          </w:tcPr>
          <w:p>
            <w:pPr>
              <w:pStyle w:val="56"/>
              <w:jc w:val="both"/>
              <w:rPr>
                <w:color w:val="auto"/>
                <w:sz w:val="21"/>
                <w:szCs w:val="21"/>
              </w:rPr>
            </w:pPr>
            <w:r>
              <w:rPr>
                <w:color w:val="auto"/>
                <w:sz w:val="21"/>
                <w:szCs w:val="21"/>
              </w:rPr>
              <w:t>M3类水平</w:t>
            </w:r>
          </w:p>
        </w:tc>
        <w:tc>
          <w:tcPr>
            <w:tcW w:w="0" w:type="auto"/>
            <w:vAlign w:val="center"/>
          </w:tcPr>
          <w:p>
            <w:pPr>
              <w:pStyle w:val="56"/>
              <w:jc w:val="both"/>
              <w:rPr>
                <w:color w:val="auto"/>
                <w:sz w:val="21"/>
                <w:szCs w:val="21"/>
              </w:rPr>
            </w:pPr>
            <w:r>
              <w:rPr>
                <w:color w:val="auto"/>
                <w:sz w:val="21"/>
                <w:szCs w:val="21"/>
              </w:rPr>
              <w:t>M4类水平</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Merge w:val="restart"/>
            <w:vAlign w:val="center"/>
          </w:tcPr>
          <w:p>
            <w:pPr>
              <w:pStyle w:val="56"/>
              <w:jc w:val="both"/>
              <w:rPr>
                <w:color w:val="auto"/>
                <w:sz w:val="21"/>
                <w:szCs w:val="21"/>
              </w:rPr>
            </w:pPr>
            <w:r>
              <w:rPr>
                <w:color w:val="auto"/>
                <w:sz w:val="21"/>
                <w:szCs w:val="21"/>
              </w:rPr>
              <w:t>类型1（E1）</w:t>
            </w:r>
          </w:p>
        </w:tc>
        <w:tc>
          <w:tcPr>
            <w:tcW w:w="0" w:type="auto"/>
            <w:vAlign w:val="center"/>
          </w:tcPr>
          <w:p>
            <w:pPr>
              <w:pStyle w:val="56"/>
              <w:jc w:val="both"/>
              <w:rPr>
                <w:color w:val="auto"/>
                <w:sz w:val="21"/>
                <w:szCs w:val="21"/>
              </w:rPr>
            </w:pPr>
            <w:r>
              <w:rPr>
                <w:color w:val="auto"/>
                <w:sz w:val="21"/>
                <w:szCs w:val="21"/>
              </w:rPr>
              <w:t>1≤Q＜10（Q1）</w:t>
            </w:r>
          </w:p>
        </w:tc>
        <w:tc>
          <w:tcPr>
            <w:tcW w:w="0" w:type="auto"/>
            <w:vAlign w:val="center"/>
          </w:tcPr>
          <w:p>
            <w:pPr>
              <w:pStyle w:val="56"/>
              <w:jc w:val="both"/>
              <w:rPr>
                <w:color w:val="auto"/>
                <w:sz w:val="21"/>
                <w:szCs w:val="21"/>
              </w:rPr>
            </w:pPr>
            <w:r>
              <w:rPr>
                <w:color w:val="auto"/>
                <w:sz w:val="21"/>
                <w:szCs w:val="21"/>
              </w:rPr>
              <w:t>较大</w:t>
            </w:r>
          </w:p>
        </w:tc>
        <w:tc>
          <w:tcPr>
            <w:tcW w:w="0" w:type="auto"/>
            <w:vAlign w:val="center"/>
          </w:tcPr>
          <w:p>
            <w:pPr>
              <w:pStyle w:val="56"/>
              <w:jc w:val="both"/>
              <w:rPr>
                <w:color w:val="auto"/>
                <w:sz w:val="21"/>
                <w:szCs w:val="21"/>
              </w:rPr>
            </w:pPr>
            <w:r>
              <w:rPr>
                <w:color w:val="auto"/>
                <w:sz w:val="21"/>
                <w:szCs w:val="21"/>
              </w:rPr>
              <w:t>较大</w:t>
            </w:r>
          </w:p>
        </w:tc>
        <w:tc>
          <w:tcPr>
            <w:tcW w:w="0" w:type="auto"/>
            <w:vAlign w:val="center"/>
          </w:tcPr>
          <w:p>
            <w:pPr>
              <w:pStyle w:val="56"/>
              <w:jc w:val="both"/>
              <w:rPr>
                <w:color w:val="auto"/>
                <w:sz w:val="21"/>
                <w:szCs w:val="21"/>
              </w:rPr>
            </w:pPr>
            <w:r>
              <w:rPr>
                <w:color w:val="auto"/>
                <w:sz w:val="21"/>
                <w:szCs w:val="21"/>
              </w:rPr>
              <w:t>重大</w:t>
            </w:r>
          </w:p>
        </w:tc>
        <w:tc>
          <w:tcPr>
            <w:tcW w:w="0" w:type="auto"/>
            <w:vAlign w:val="center"/>
          </w:tcPr>
          <w:p>
            <w:pPr>
              <w:pStyle w:val="56"/>
              <w:jc w:val="both"/>
              <w:rPr>
                <w:color w:val="auto"/>
                <w:sz w:val="21"/>
                <w:szCs w:val="21"/>
              </w:rPr>
            </w:pPr>
            <w:r>
              <w:rPr>
                <w:color w:val="auto"/>
                <w:sz w:val="21"/>
                <w:szCs w:val="21"/>
              </w:rPr>
              <w:t>重大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Merge w:val="continue"/>
            <w:vAlign w:val="center"/>
          </w:tcPr>
          <w:p>
            <w:pPr>
              <w:pStyle w:val="56"/>
              <w:jc w:val="both"/>
              <w:rPr>
                <w:color w:val="auto"/>
                <w:sz w:val="21"/>
                <w:szCs w:val="21"/>
              </w:rPr>
            </w:pPr>
          </w:p>
        </w:tc>
        <w:tc>
          <w:tcPr>
            <w:tcW w:w="0" w:type="auto"/>
            <w:vAlign w:val="center"/>
          </w:tcPr>
          <w:p>
            <w:pPr>
              <w:pStyle w:val="56"/>
              <w:jc w:val="both"/>
              <w:rPr>
                <w:color w:val="auto"/>
                <w:sz w:val="21"/>
                <w:szCs w:val="21"/>
              </w:rPr>
            </w:pPr>
            <w:r>
              <w:rPr>
                <w:color w:val="auto"/>
                <w:sz w:val="21"/>
                <w:szCs w:val="21"/>
              </w:rPr>
              <w:t>10≤Q＜100（Q2）</w:t>
            </w:r>
          </w:p>
        </w:tc>
        <w:tc>
          <w:tcPr>
            <w:tcW w:w="0" w:type="auto"/>
            <w:vAlign w:val="center"/>
          </w:tcPr>
          <w:p>
            <w:pPr>
              <w:pStyle w:val="56"/>
              <w:jc w:val="both"/>
              <w:rPr>
                <w:color w:val="auto"/>
                <w:sz w:val="21"/>
                <w:szCs w:val="21"/>
              </w:rPr>
            </w:pPr>
            <w:r>
              <w:rPr>
                <w:color w:val="auto"/>
                <w:sz w:val="21"/>
                <w:szCs w:val="21"/>
              </w:rPr>
              <w:t>较大</w:t>
            </w:r>
          </w:p>
        </w:tc>
        <w:tc>
          <w:tcPr>
            <w:tcW w:w="0" w:type="auto"/>
            <w:vAlign w:val="center"/>
          </w:tcPr>
          <w:p>
            <w:pPr>
              <w:pStyle w:val="56"/>
              <w:jc w:val="both"/>
              <w:rPr>
                <w:color w:val="auto"/>
                <w:sz w:val="21"/>
                <w:szCs w:val="21"/>
              </w:rPr>
            </w:pPr>
            <w:r>
              <w:rPr>
                <w:color w:val="auto"/>
                <w:sz w:val="21"/>
                <w:szCs w:val="21"/>
              </w:rPr>
              <w:t>重大</w:t>
            </w:r>
          </w:p>
        </w:tc>
        <w:tc>
          <w:tcPr>
            <w:tcW w:w="0" w:type="auto"/>
            <w:vAlign w:val="center"/>
          </w:tcPr>
          <w:p>
            <w:pPr>
              <w:pStyle w:val="56"/>
              <w:jc w:val="both"/>
              <w:rPr>
                <w:color w:val="auto"/>
                <w:sz w:val="21"/>
                <w:szCs w:val="21"/>
              </w:rPr>
            </w:pPr>
            <w:r>
              <w:rPr>
                <w:color w:val="auto"/>
                <w:sz w:val="21"/>
                <w:szCs w:val="21"/>
              </w:rPr>
              <w:t>重大</w:t>
            </w:r>
          </w:p>
        </w:tc>
        <w:tc>
          <w:tcPr>
            <w:tcW w:w="0" w:type="auto"/>
            <w:vAlign w:val="center"/>
          </w:tcPr>
          <w:p>
            <w:pPr>
              <w:pStyle w:val="56"/>
              <w:jc w:val="both"/>
              <w:rPr>
                <w:color w:val="auto"/>
                <w:sz w:val="21"/>
                <w:szCs w:val="21"/>
              </w:rPr>
            </w:pPr>
            <w:r>
              <w:rPr>
                <w:color w:val="auto"/>
                <w:sz w:val="21"/>
                <w:szCs w:val="21"/>
              </w:rPr>
              <w:t>重大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Merge w:val="continue"/>
            <w:vAlign w:val="center"/>
          </w:tcPr>
          <w:p>
            <w:pPr>
              <w:pStyle w:val="56"/>
              <w:jc w:val="both"/>
              <w:rPr>
                <w:color w:val="auto"/>
                <w:sz w:val="21"/>
                <w:szCs w:val="21"/>
              </w:rPr>
            </w:pPr>
          </w:p>
        </w:tc>
        <w:tc>
          <w:tcPr>
            <w:tcW w:w="0" w:type="auto"/>
            <w:vAlign w:val="center"/>
          </w:tcPr>
          <w:p>
            <w:pPr>
              <w:pStyle w:val="56"/>
              <w:jc w:val="both"/>
              <w:rPr>
                <w:color w:val="auto"/>
                <w:sz w:val="21"/>
                <w:szCs w:val="21"/>
              </w:rPr>
            </w:pPr>
            <w:r>
              <w:rPr>
                <w:color w:val="auto"/>
                <w:sz w:val="21"/>
                <w:szCs w:val="21"/>
              </w:rPr>
              <w:t>Q≥100（Q3）</w:t>
            </w:r>
          </w:p>
        </w:tc>
        <w:tc>
          <w:tcPr>
            <w:tcW w:w="0" w:type="auto"/>
            <w:vAlign w:val="center"/>
          </w:tcPr>
          <w:p>
            <w:pPr>
              <w:pStyle w:val="56"/>
              <w:jc w:val="both"/>
              <w:rPr>
                <w:color w:val="auto"/>
                <w:sz w:val="21"/>
                <w:szCs w:val="21"/>
              </w:rPr>
            </w:pPr>
            <w:r>
              <w:rPr>
                <w:color w:val="auto"/>
                <w:sz w:val="21"/>
                <w:szCs w:val="21"/>
              </w:rPr>
              <w:t>重大</w:t>
            </w:r>
          </w:p>
        </w:tc>
        <w:tc>
          <w:tcPr>
            <w:tcW w:w="0" w:type="auto"/>
            <w:vAlign w:val="center"/>
          </w:tcPr>
          <w:p>
            <w:pPr>
              <w:pStyle w:val="56"/>
              <w:jc w:val="both"/>
              <w:rPr>
                <w:color w:val="auto"/>
                <w:sz w:val="21"/>
                <w:szCs w:val="21"/>
              </w:rPr>
            </w:pPr>
            <w:r>
              <w:rPr>
                <w:color w:val="auto"/>
                <w:sz w:val="21"/>
                <w:szCs w:val="21"/>
              </w:rPr>
              <w:t>重大</w:t>
            </w:r>
          </w:p>
        </w:tc>
        <w:tc>
          <w:tcPr>
            <w:tcW w:w="0" w:type="auto"/>
            <w:vAlign w:val="center"/>
          </w:tcPr>
          <w:p>
            <w:pPr>
              <w:pStyle w:val="56"/>
              <w:jc w:val="both"/>
              <w:rPr>
                <w:color w:val="auto"/>
                <w:sz w:val="21"/>
                <w:szCs w:val="21"/>
              </w:rPr>
            </w:pPr>
            <w:r>
              <w:rPr>
                <w:color w:val="auto"/>
                <w:sz w:val="21"/>
                <w:szCs w:val="21"/>
              </w:rPr>
              <w:t>重大</w:t>
            </w:r>
          </w:p>
        </w:tc>
        <w:tc>
          <w:tcPr>
            <w:tcW w:w="0" w:type="auto"/>
            <w:vAlign w:val="center"/>
          </w:tcPr>
          <w:p>
            <w:pPr>
              <w:pStyle w:val="56"/>
              <w:jc w:val="both"/>
              <w:rPr>
                <w:color w:val="auto"/>
                <w:sz w:val="21"/>
                <w:szCs w:val="21"/>
              </w:rPr>
            </w:pPr>
            <w:r>
              <w:rPr>
                <w:color w:val="auto"/>
                <w:sz w:val="21"/>
                <w:szCs w:val="21"/>
              </w:rPr>
              <w:t>重大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Merge w:val="restart"/>
            <w:vAlign w:val="center"/>
          </w:tcPr>
          <w:p>
            <w:pPr>
              <w:pStyle w:val="56"/>
              <w:jc w:val="both"/>
              <w:rPr>
                <w:color w:val="auto"/>
                <w:sz w:val="21"/>
                <w:szCs w:val="21"/>
              </w:rPr>
            </w:pPr>
            <w:r>
              <w:rPr>
                <w:color w:val="auto"/>
                <w:sz w:val="21"/>
                <w:szCs w:val="21"/>
              </w:rPr>
              <w:t>类型2（E2）</w:t>
            </w:r>
          </w:p>
        </w:tc>
        <w:tc>
          <w:tcPr>
            <w:tcW w:w="0" w:type="auto"/>
            <w:vAlign w:val="center"/>
          </w:tcPr>
          <w:p>
            <w:pPr>
              <w:pStyle w:val="56"/>
              <w:jc w:val="both"/>
              <w:rPr>
                <w:color w:val="auto"/>
                <w:sz w:val="21"/>
                <w:szCs w:val="21"/>
              </w:rPr>
            </w:pPr>
            <w:r>
              <w:rPr>
                <w:color w:val="auto"/>
                <w:sz w:val="21"/>
                <w:szCs w:val="21"/>
              </w:rPr>
              <w:t>1≤Q＜10（Q1）</w:t>
            </w:r>
          </w:p>
        </w:tc>
        <w:tc>
          <w:tcPr>
            <w:tcW w:w="0" w:type="auto"/>
            <w:vAlign w:val="center"/>
          </w:tcPr>
          <w:p>
            <w:pPr>
              <w:pStyle w:val="56"/>
              <w:jc w:val="both"/>
              <w:rPr>
                <w:color w:val="auto"/>
                <w:sz w:val="21"/>
                <w:szCs w:val="21"/>
              </w:rPr>
            </w:pPr>
            <w:r>
              <w:rPr>
                <w:color w:val="auto"/>
                <w:sz w:val="21"/>
                <w:szCs w:val="21"/>
              </w:rPr>
              <w:t>一般</w:t>
            </w:r>
          </w:p>
        </w:tc>
        <w:tc>
          <w:tcPr>
            <w:tcW w:w="0" w:type="auto"/>
            <w:vAlign w:val="center"/>
          </w:tcPr>
          <w:p>
            <w:pPr>
              <w:pStyle w:val="56"/>
              <w:jc w:val="both"/>
              <w:rPr>
                <w:color w:val="auto"/>
                <w:sz w:val="21"/>
                <w:szCs w:val="21"/>
              </w:rPr>
            </w:pPr>
            <w:r>
              <w:rPr>
                <w:color w:val="auto"/>
                <w:sz w:val="21"/>
                <w:szCs w:val="21"/>
              </w:rPr>
              <w:t>较大</w:t>
            </w:r>
          </w:p>
        </w:tc>
        <w:tc>
          <w:tcPr>
            <w:tcW w:w="0" w:type="auto"/>
            <w:vAlign w:val="center"/>
          </w:tcPr>
          <w:p>
            <w:pPr>
              <w:pStyle w:val="56"/>
              <w:jc w:val="both"/>
              <w:rPr>
                <w:color w:val="auto"/>
                <w:sz w:val="21"/>
                <w:szCs w:val="21"/>
              </w:rPr>
            </w:pPr>
            <w:r>
              <w:rPr>
                <w:color w:val="auto"/>
                <w:sz w:val="21"/>
                <w:szCs w:val="21"/>
              </w:rPr>
              <w:t>较大</w:t>
            </w:r>
          </w:p>
        </w:tc>
        <w:tc>
          <w:tcPr>
            <w:tcW w:w="0" w:type="auto"/>
            <w:vAlign w:val="center"/>
          </w:tcPr>
          <w:p>
            <w:pPr>
              <w:pStyle w:val="56"/>
              <w:jc w:val="both"/>
              <w:rPr>
                <w:color w:val="auto"/>
                <w:sz w:val="21"/>
                <w:szCs w:val="21"/>
              </w:rPr>
            </w:pPr>
            <w:r>
              <w:rPr>
                <w:color w:val="auto"/>
                <w:sz w:val="21"/>
                <w:szCs w:val="21"/>
              </w:rPr>
              <w:t>重大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Merge w:val="continue"/>
            <w:vAlign w:val="center"/>
          </w:tcPr>
          <w:p>
            <w:pPr>
              <w:pStyle w:val="56"/>
              <w:jc w:val="both"/>
              <w:rPr>
                <w:color w:val="auto"/>
                <w:sz w:val="21"/>
                <w:szCs w:val="21"/>
              </w:rPr>
            </w:pPr>
          </w:p>
        </w:tc>
        <w:tc>
          <w:tcPr>
            <w:tcW w:w="0" w:type="auto"/>
            <w:vAlign w:val="center"/>
          </w:tcPr>
          <w:p>
            <w:pPr>
              <w:pStyle w:val="56"/>
              <w:jc w:val="both"/>
              <w:rPr>
                <w:color w:val="auto"/>
                <w:sz w:val="21"/>
                <w:szCs w:val="21"/>
              </w:rPr>
            </w:pPr>
            <w:r>
              <w:rPr>
                <w:color w:val="auto"/>
                <w:sz w:val="21"/>
                <w:szCs w:val="21"/>
              </w:rPr>
              <w:t>10≤Q＜100（Q2）</w:t>
            </w:r>
          </w:p>
        </w:tc>
        <w:tc>
          <w:tcPr>
            <w:tcW w:w="0" w:type="auto"/>
            <w:vAlign w:val="center"/>
          </w:tcPr>
          <w:p>
            <w:pPr>
              <w:pStyle w:val="56"/>
              <w:jc w:val="both"/>
              <w:rPr>
                <w:color w:val="auto"/>
                <w:sz w:val="21"/>
                <w:szCs w:val="21"/>
              </w:rPr>
            </w:pPr>
            <w:r>
              <w:rPr>
                <w:color w:val="auto"/>
                <w:sz w:val="21"/>
                <w:szCs w:val="21"/>
              </w:rPr>
              <w:t>较大</w:t>
            </w:r>
          </w:p>
        </w:tc>
        <w:tc>
          <w:tcPr>
            <w:tcW w:w="0" w:type="auto"/>
            <w:vAlign w:val="center"/>
          </w:tcPr>
          <w:p>
            <w:pPr>
              <w:pStyle w:val="56"/>
              <w:jc w:val="both"/>
              <w:rPr>
                <w:color w:val="auto"/>
                <w:sz w:val="21"/>
                <w:szCs w:val="21"/>
              </w:rPr>
            </w:pPr>
            <w:r>
              <w:rPr>
                <w:color w:val="auto"/>
                <w:sz w:val="21"/>
                <w:szCs w:val="21"/>
              </w:rPr>
              <w:t>较大</w:t>
            </w:r>
          </w:p>
        </w:tc>
        <w:tc>
          <w:tcPr>
            <w:tcW w:w="0" w:type="auto"/>
            <w:vAlign w:val="center"/>
          </w:tcPr>
          <w:p>
            <w:pPr>
              <w:pStyle w:val="56"/>
              <w:jc w:val="both"/>
              <w:rPr>
                <w:color w:val="auto"/>
                <w:sz w:val="21"/>
                <w:szCs w:val="21"/>
              </w:rPr>
            </w:pPr>
            <w:r>
              <w:rPr>
                <w:color w:val="auto"/>
                <w:sz w:val="21"/>
                <w:szCs w:val="21"/>
              </w:rPr>
              <w:t>重大</w:t>
            </w:r>
          </w:p>
        </w:tc>
        <w:tc>
          <w:tcPr>
            <w:tcW w:w="0" w:type="auto"/>
            <w:vAlign w:val="center"/>
          </w:tcPr>
          <w:p>
            <w:pPr>
              <w:pStyle w:val="56"/>
              <w:jc w:val="both"/>
              <w:rPr>
                <w:color w:val="auto"/>
                <w:sz w:val="21"/>
                <w:szCs w:val="21"/>
              </w:rPr>
            </w:pPr>
            <w:r>
              <w:rPr>
                <w:color w:val="auto"/>
                <w:sz w:val="21"/>
                <w:szCs w:val="21"/>
              </w:rPr>
              <w:t>重大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Merge w:val="continue"/>
            <w:vAlign w:val="center"/>
          </w:tcPr>
          <w:p>
            <w:pPr>
              <w:pStyle w:val="56"/>
              <w:jc w:val="both"/>
              <w:rPr>
                <w:color w:val="auto"/>
                <w:sz w:val="21"/>
                <w:szCs w:val="21"/>
              </w:rPr>
            </w:pPr>
          </w:p>
        </w:tc>
        <w:tc>
          <w:tcPr>
            <w:tcW w:w="0" w:type="auto"/>
            <w:vAlign w:val="center"/>
          </w:tcPr>
          <w:p>
            <w:pPr>
              <w:pStyle w:val="56"/>
              <w:jc w:val="both"/>
              <w:rPr>
                <w:color w:val="auto"/>
                <w:sz w:val="21"/>
                <w:szCs w:val="21"/>
              </w:rPr>
            </w:pPr>
            <w:r>
              <w:rPr>
                <w:color w:val="auto"/>
                <w:sz w:val="21"/>
                <w:szCs w:val="21"/>
              </w:rPr>
              <w:t>Q≥100（Q3）</w:t>
            </w:r>
          </w:p>
        </w:tc>
        <w:tc>
          <w:tcPr>
            <w:tcW w:w="0" w:type="auto"/>
            <w:vAlign w:val="center"/>
          </w:tcPr>
          <w:p>
            <w:pPr>
              <w:pStyle w:val="56"/>
              <w:jc w:val="both"/>
              <w:rPr>
                <w:color w:val="auto"/>
                <w:sz w:val="21"/>
                <w:szCs w:val="21"/>
              </w:rPr>
            </w:pPr>
            <w:r>
              <w:rPr>
                <w:color w:val="auto"/>
                <w:sz w:val="21"/>
                <w:szCs w:val="21"/>
              </w:rPr>
              <w:t>较大</w:t>
            </w:r>
          </w:p>
        </w:tc>
        <w:tc>
          <w:tcPr>
            <w:tcW w:w="0" w:type="auto"/>
            <w:vAlign w:val="center"/>
          </w:tcPr>
          <w:p>
            <w:pPr>
              <w:pStyle w:val="56"/>
              <w:jc w:val="both"/>
              <w:rPr>
                <w:color w:val="auto"/>
                <w:sz w:val="21"/>
                <w:szCs w:val="21"/>
              </w:rPr>
            </w:pPr>
            <w:r>
              <w:rPr>
                <w:color w:val="auto"/>
                <w:sz w:val="21"/>
                <w:szCs w:val="21"/>
              </w:rPr>
              <w:t>重大</w:t>
            </w:r>
          </w:p>
        </w:tc>
        <w:tc>
          <w:tcPr>
            <w:tcW w:w="0" w:type="auto"/>
            <w:vAlign w:val="center"/>
          </w:tcPr>
          <w:p>
            <w:pPr>
              <w:pStyle w:val="56"/>
              <w:jc w:val="both"/>
              <w:rPr>
                <w:color w:val="auto"/>
                <w:sz w:val="21"/>
                <w:szCs w:val="21"/>
              </w:rPr>
            </w:pPr>
            <w:r>
              <w:rPr>
                <w:color w:val="auto"/>
                <w:sz w:val="21"/>
                <w:szCs w:val="21"/>
              </w:rPr>
              <w:t>重大</w:t>
            </w:r>
          </w:p>
        </w:tc>
        <w:tc>
          <w:tcPr>
            <w:tcW w:w="0" w:type="auto"/>
            <w:vAlign w:val="center"/>
          </w:tcPr>
          <w:p>
            <w:pPr>
              <w:pStyle w:val="56"/>
              <w:jc w:val="both"/>
              <w:rPr>
                <w:color w:val="auto"/>
                <w:sz w:val="21"/>
                <w:szCs w:val="21"/>
              </w:rPr>
            </w:pPr>
            <w:r>
              <w:rPr>
                <w:color w:val="auto"/>
                <w:sz w:val="21"/>
                <w:szCs w:val="21"/>
              </w:rPr>
              <w:t>重大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Merge w:val="restart"/>
            <w:vAlign w:val="center"/>
          </w:tcPr>
          <w:p>
            <w:pPr>
              <w:pStyle w:val="56"/>
              <w:jc w:val="both"/>
              <w:rPr>
                <w:color w:val="auto"/>
                <w:sz w:val="21"/>
                <w:szCs w:val="21"/>
              </w:rPr>
            </w:pPr>
            <w:r>
              <w:rPr>
                <w:color w:val="auto"/>
                <w:sz w:val="21"/>
                <w:szCs w:val="21"/>
              </w:rPr>
              <w:t>类型3（E3）</w:t>
            </w:r>
          </w:p>
        </w:tc>
        <w:tc>
          <w:tcPr>
            <w:tcW w:w="0" w:type="auto"/>
            <w:vAlign w:val="center"/>
          </w:tcPr>
          <w:p>
            <w:pPr>
              <w:pStyle w:val="56"/>
              <w:jc w:val="both"/>
              <w:rPr>
                <w:color w:val="auto"/>
                <w:sz w:val="21"/>
                <w:szCs w:val="21"/>
              </w:rPr>
            </w:pPr>
            <w:r>
              <w:rPr>
                <w:color w:val="auto"/>
                <w:sz w:val="21"/>
                <w:szCs w:val="21"/>
              </w:rPr>
              <w:t>1≤Q＜10（Q1）</w:t>
            </w:r>
          </w:p>
        </w:tc>
        <w:tc>
          <w:tcPr>
            <w:tcW w:w="0" w:type="auto"/>
            <w:vAlign w:val="center"/>
          </w:tcPr>
          <w:p>
            <w:pPr>
              <w:pStyle w:val="56"/>
              <w:jc w:val="both"/>
              <w:rPr>
                <w:color w:val="auto"/>
                <w:sz w:val="21"/>
                <w:szCs w:val="21"/>
              </w:rPr>
            </w:pPr>
            <w:r>
              <w:rPr>
                <w:color w:val="auto"/>
                <w:sz w:val="21"/>
                <w:szCs w:val="21"/>
              </w:rPr>
              <w:t>一般</w:t>
            </w:r>
          </w:p>
        </w:tc>
        <w:tc>
          <w:tcPr>
            <w:tcW w:w="0" w:type="auto"/>
            <w:vAlign w:val="center"/>
          </w:tcPr>
          <w:p>
            <w:pPr>
              <w:pStyle w:val="56"/>
              <w:jc w:val="both"/>
              <w:rPr>
                <w:color w:val="auto"/>
                <w:sz w:val="21"/>
                <w:szCs w:val="21"/>
              </w:rPr>
            </w:pPr>
            <w:r>
              <w:rPr>
                <w:color w:val="auto"/>
                <w:sz w:val="21"/>
                <w:szCs w:val="21"/>
              </w:rPr>
              <w:t>一般</w:t>
            </w:r>
          </w:p>
        </w:tc>
        <w:tc>
          <w:tcPr>
            <w:tcW w:w="0" w:type="auto"/>
            <w:vAlign w:val="center"/>
          </w:tcPr>
          <w:p>
            <w:pPr>
              <w:pStyle w:val="56"/>
              <w:jc w:val="both"/>
              <w:rPr>
                <w:color w:val="auto"/>
                <w:sz w:val="21"/>
                <w:szCs w:val="21"/>
              </w:rPr>
            </w:pPr>
            <w:r>
              <w:rPr>
                <w:color w:val="auto"/>
                <w:sz w:val="21"/>
                <w:szCs w:val="21"/>
              </w:rPr>
              <w:t>较大</w:t>
            </w:r>
          </w:p>
        </w:tc>
        <w:tc>
          <w:tcPr>
            <w:tcW w:w="0" w:type="auto"/>
            <w:vAlign w:val="center"/>
          </w:tcPr>
          <w:p>
            <w:pPr>
              <w:pStyle w:val="56"/>
              <w:jc w:val="both"/>
              <w:rPr>
                <w:color w:val="auto"/>
                <w:sz w:val="21"/>
                <w:szCs w:val="21"/>
              </w:rPr>
            </w:pPr>
            <w:r>
              <w:rPr>
                <w:color w:val="auto"/>
                <w:sz w:val="21"/>
                <w:szCs w:val="21"/>
              </w:rPr>
              <w:t>较大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Merge w:val="continue"/>
            <w:vAlign w:val="center"/>
          </w:tcPr>
          <w:p>
            <w:pPr>
              <w:pStyle w:val="56"/>
              <w:jc w:val="both"/>
              <w:rPr>
                <w:color w:val="auto"/>
                <w:sz w:val="21"/>
                <w:szCs w:val="21"/>
              </w:rPr>
            </w:pPr>
          </w:p>
        </w:tc>
        <w:tc>
          <w:tcPr>
            <w:tcW w:w="0" w:type="auto"/>
            <w:vAlign w:val="center"/>
          </w:tcPr>
          <w:p>
            <w:pPr>
              <w:pStyle w:val="56"/>
              <w:jc w:val="both"/>
              <w:rPr>
                <w:color w:val="auto"/>
                <w:sz w:val="21"/>
                <w:szCs w:val="21"/>
              </w:rPr>
            </w:pPr>
            <w:r>
              <w:rPr>
                <w:color w:val="auto"/>
                <w:sz w:val="21"/>
                <w:szCs w:val="21"/>
              </w:rPr>
              <w:t>10≤Q＜100（Q2）</w:t>
            </w:r>
          </w:p>
        </w:tc>
        <w:tc>
          <w:tcPr>
            <w:tcW w:w="0" w:type="auto"/>
            <w:vAlign w:val="center"/>
          </w:tcPr>
          <w:p>
            <w:pPr>
              <w:pStyle w:val="56"/>
              <w:jc w:val="both"/>
              <w:rPr>
                <w:color w:val="auto"/>
                <w:sz w:val="21"/>
                <w:szCs w:val="21"/>
              </w:rPr>
            </w:pPr>
            <w:r>
              <w:rPr>
                <w:color w:val="auto"/>
                <w:sz w:val="21"/>
                <w:szCs w:val="21"/>
              </w:rPr>
              <w:t>一般</w:t>
            </w:r>
          </w:p>
        </w:tc>
        <w:tc>
          <w:tcPr>
            <w:tcW w:w="0" w:type="auto"/>
            <w:vAlign w:val="center"/>
          </w:tcPr>
          <w:p>
            <w:pPr>
              <w:pStyle w:val="56"/>
              <w:jc w:val="both"/>
              <w:rPr>
                <w:color w:val="auto"/>
                <w:sz w:val="21"/>
                <w:szCs w:val="21"/>
              </w:rPr>
            </w:pPr>
            <w:r>
              <w:rPr>
                <w:color w:val="auto"/>
                <w:sz w:val="21"/>
                <w:szCs w:val="21"/>
              </w:rPr>
              <w:t>较大</w:t>
            </w:r>
          </w:p>
        </w:tc>
        <w:tc>
          <w:tcPr>
            <w:tcW w:w="0" w:type="auto"/>
            <w:vAlign w:val="center"/>
          </w:tcPr>
          <w:p>
            <w:pPr>
              <w:pStyle w:val="56"/>
              <w:jc w:val="both"/>
              <w:rPr>
                <w:color w:val="auto"/>
                <w:sz w:val="21"/>
                <w:szCs w:val="21"/>
              </w:rPr>
            </w:pPr>
            <w:r>
              <w:rPr>
                <w:color w:val="auto"/>
                <w:sz w:val="21"/>
                <w:szCs w:val="21"/>
              </w:rPr>
              <w:t>较大</w:t>
            </w:r>
          </w:p>
        </w:tc>
        <w:tc>
          <w:tcPr>
            <w:tcW w:w="0" w:type="auto"/>
            <w:vAlign w:val="center"/>
          </w:tcPr>
          <w:p>
            <w:pPr>
              <w:pStyle w:val="56"/>
              <w:jc w:val="both"/>
              <w:rPr>
                <w:color w:val="auto"/>
                <w:sz w:val="21"/>
                <w:szCs w:val="21"/>
              </w:rPr>
            </w:pPr>
            <w:r>
              <w:rPr>
                <w:color w:val="auto"/>
                <w:sz w:val="21"/>
                <w:szCs w:val="21"/>
              </w:rPr>
              <w:t>重大</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0" w:type="auto"/>
            <w:vMerge w:val="continue"/>
            <w:vAlign w:val="center"/>
          </w:tcPr>
          <w:p>
            <w:pPr>
              <w:pStyle w:val="56"/>
              <w:jc w:val="both"/>
              <w:rPr>
                <w:color w:val="auto"/>
                <w:sz w:val="21"/>
                <w:szCs w:val="21"/>
              </w:rPr>
            </w:pPr>
          </w:p>
        </w:tc>
        <w:tc>
          <w:tcPr>
            <w:tcW w:w="0" w:type="auto"/>
            <w:vAlign w:val="center"/>
          </w:tcPr>
          <w:p>
            <w:pPr>
              <w:pStyle w:val="56"/>
              <w:jc w:val="both"/>
              <w:rPr>
                <w:color w:val="auto"/>
                <w:sz w:val="21"/>
                <w:szCs w:val="21"/>
              </w:rPr>
            </w:pPr>
            <w:r>
              <w:rPr>
                <w:color w:val="auto"/>
                <w:sz w:val="21"/>
                <w:szCs w:val="21"/>
              </w:rPr>
              <w:t>Q≥100（Q3）</w:t>
            </w:r>
          </w:p>
        </w:tc>
        <w:tc>
          <w:tcPr>
            <w:tcW w:w="0" w:type="auto"/>
            <w:vAlign w:val="center"/>
          </w:tcPr>
          <w:p>
            <w:pPr>
              <w:pStyle w:val="56"/>
              <w:jc w:val="both"/>
              <w:rPr>
                <w:color w:val="auto"/>
                <w:sz w:val="21"/>
                <w:szCs w:val="21"/>
              </w:rPr>
            </w:pPr>
            <w:r>
              <w:rPr>
                <w:color w:val="auto"/>
                <w:sz w:val="21"/>
                <w:szCs w:val="21"/>
              </w:rPr>
              <w:t>较大</w:t>
            </w:r>
          </w:p>
        </w:tc>
        <w:tc>
          <w:tcPr>
            <w:tcW w:w="0" w:type="auto"/>
            <w:vAlign w:val="center"/>
          </w:tcPr>
          <w:p>
            <w:pPr>
              <w:pStyle w:val="56"/>
              <w:jc w:val="both"/>
              <w:rPr>
                <w:color w:val="auto"/>
                <w:sz w:val="21"/>
                <w:szCs w:val="21"/>
              </w:rPr>
            </w:pPr>
            <w:r>
              <w:rPr>
                <w:color w:val="auto"/>
                <w:sz w:val="21"/>
                <w:szCs w:val="21"/>
              </w:rPr>
              <w:t>较大</w:t>
            </w:r>
          </w:p>
        </w:tc>
        <w:tc>
          <w:tcPr>
            <w:tcW w:w="0" w:type="auto"/>
            <w:vAlign w:val="center"/>
          </w:tcPr>
          <w:p>
            <w:pPr>
              <w:pStyle w:val="56"/>
              <w:jc w:val="both"/>
              <w:rPr>
                <w:color w:val="auto"/>
                <w:sz w:val="21"/>
                <w:szCs w:val="21"/>
              </w:rPr>
            </w:pPr>
            <w:r>
              <w:rPr>
                <w:color w:val="auto"/>
                <w:sz w:val="21"/>
                <w:szCs w:val="21"/>
              </w:rPr>
              <w:t>重大</w:t>
            </w:r>
          </w:p>
        </w:tc>
        <w:tc>
          <w:tcPr>
            <w:tcW w:w="0" w:type="auto"/>
            <w:vAlign w:val="center"/>
          </w:tcPr>
          <w:p>
            <w:pPr>
              <w:pStyle w:val="56"/>
              <w:jc w:val="both"/>
              <w:rPr>
                <w:color w:val="auto"/>
                <w:sz w:val="21"/>
                <w:szCs w:val="21"/>
              </w:rPr>
            </w:pPr>
            <w:r>
              <w:rPr>
                <w:color w:val="auto"/>
                <w:sz w:val="21"/>
                <w:szCs w:val="21"/>
              </w:rPr>
              <w:t>重大</w:t>
            </w:r>
          </w:p>
        </w:tc>
      </w:tr>
    </w:tbl>
    <w:p>
      <w:pPr>
        <w:pStyle w:val="71"/>
        <w:ind w:firstLine="560"/>
        <w:rPr>
          <w:color w:val="auto"/>
        </w:rPr>
      </w:pPr>
      <w:bookmarkStart w:id="194" w:name="_Hlk70540005"/>
      <w:r>
        <w:rPr>
          <w:rFonts w:hint="eastAsia"/>
          <w:color w:val="auto"/>
          <w:lang w:eastAsia="zh-CN"/>
        </w:rPr>
        <w:t>根据项目情况，</w:t>
      </w:r>
      <w:r>
        <w:rPr>
          <w:color w:val="000000" w:themeColor="text1"/>
          <w14:textFill>
            <w14:solidFill>
              <w14:schemeClr w14:val="tx1"/>
            </w14:solidFill>
          </w14:textFill>
        </w:rPr>
        <w:t>本工程环境风险物质数量与临界值比值（Q）为0.</w:t>
      </w:r>
      <w:r>
        <w:rPr>
          <w:rFonts w:hint="eastAsia"/>
          <w:color w:val="000000" w:themeColor="text1"/>
          <w:lang w:val="en-US" w:eastAsia="zh-CN"/>
          <w14:textFill>
            <w14:solidFill>
              <w14:schemeClr w14:val="tx1"/>
            </w14:solidFill>
          </w14:textFill>
        </w:rPr>
        <w:t>024</w:t>
      </w:r>
      <w:r>
        <w:rPr>
          <w:color w:val="000000" w:themeColor="text1"/>
          <w14:textFill>
            <w14:solidFill>
              <w14:schemeClr w14:val="tx1"/>
            </w14:solidFill>
          </w14:textFill>
        </w:rPr>
        <w:t>，为Q</w:t>
      </w:r>
      <w:r>
        <w:rPr>
          <w:rFonts w:hint="eastAsia"/>
          <w:color w:val="000000" w:themeColor="text1"/>
          <w:vertAlign w:val="baseline"/>
          <w:lang w:val="en-US" w:eastAsia="zh-CN"/>
          <w14:textFill>
            <w14:solidFill>
              <w14:schemeClr w14:val="tx1"/>
            </w14:solidFill>
          </w14:textFill>
        </w:rPr>
        <w:t>0</w:t>
      </w:r>
      <w:r>
        <w:rPr>
          <w:color w:val="000000" w:themeColor="text1"/>
          <w14:textFill>
            <w14:solidFill>
              <w14:schemeClr w14:val="tx1"/>
            </w14:solidFill>
          </w14:textFill>
        </w:rPr>
        <w:t>级，</w:t>
      </w:r>
      <w:r>
        <w:rPr>
          <w:color w:val="auto"/>
        </w:rPr>
        <w:t>本项目企业突发水环境事件风险等级为</w:t>
      </w:r>
      <w:r>
        <w:rPr>
          <w:rFonts w:hint="eastAsia"/>
          <w:color w:val="auto"/>
          <w:lang w:eastAsia="zh-CN"/>
        </w:rPr>
        <w:t>一般</w:t>
      </w:r>
      <w:r>
        <w:rPr>
          <w:color w:val="auto"/>
        </w:rPr>
        <w:t>。</w:t>
      </w:r>
      <w:bookmarkEnd w:id="194"/>
    </w:p>
    <w:p>
      <w:pPr>
        <w:pStyle w:val="10"/>
        <w:ind w:firstLine="321"/>
        <w:rPr>
          <w:color w:val="auto"/>
        </w:rPr>
      </w:pPr>
      <w:bookmarkStart w:id="195" w:name="_Toc69739765"/>
      <w:bookmarkStart w:id="196" w:name="_Toc681"/>
      <w:r>
        <w:rPr>
          <w:color w:val="auto"/>
        </w:rPr>
        <w:t>7.4 风险等级确定</w:t>
      </w:r>
      <w:bookmarkEnd w:id="195"/>
      <w:bookmarkEnd w:id="196"/>
    </w:p>
    <w:p>
      <w:pPr>
        <w:ind w:firstLine="560"/>
        <w:rPr>
          <w:color w:val="auto"/>
        </w:rPr>
      </w:pPr>
      <w:r>
        <w:rPr>
          <w:color w:val="auto"/>
        </w:rPr>
        <w:t>本公路同时涉及突发大气和水环境事件风险，以企业突发大气环境事件风险和突发水环境事件风险等级高者确定企业突发环境事件风险等级，风险等级为“</w:t>
      </w:r>
      <w:r>
        <w:rPr>
          <w:rFonts w:hint="eastAsia"/>
          <w:color w:val="auto"/>
          <w:lang w:eastAsia="zh-CN"/>
        </w:rPr>
        <w:t>一般</w:t>
      </w:r>
      <w:r>
        <w:rPr>
          <w:color w:val="auto"/>
        </w:rPr>
        <w:t>[</w:t>
      </w:r>
      <w:r>
        <w:rPr>
          <w:rFonts w:hint="eastAsia"/>
          <w:color w:val="auto"/>
          <w:lang w:eastAsia="zh-CN"/>
        </w:rPr>
        <w:t>一般</w:t>
      </w:r>
      <w:r>
        <w:rPr>
          <w:color w:val="auto"/>
        </w:rPr>
        <w:t>-大气（Q</w:t>
      </w:r>
      <w:r>
        <w:rPr>
          <w:rFonts w:hint="eastAsia"/>
          <w:color w:val="auto"/>
          <w:lang w:val="en-US" w:eastAsia="zh-CN"/>
        </w:rPr>
        <w:t>0</w:t>
      </w:r>
      <w:r>
        <w:rPr>
          <w:color w:val="auto"/>
        </w:rPr>
        <w:t>）+</w:t>
      </w:r>
      <w:r>
        <w:rPr>
          <w:rFonts w:hint="eastAsia"/>
          <w:color w:val="auto"/>
          <w:lang w:eastAsia="zh-CN"/>
        </w:rPr>
        <w:t>一般</w:t>
      </w:r>
      <w:r>
        <w:rPr>
          <w:color w:val="auto"/>
        </w:rPr>
        <w:t>-水（Q</w:t>
      </w:r>
      <w:r>
        <w:rPr>
          <w:rFonts w:hint="eastAsia"/>
          <w:color w:val="auto"/>
          <w:lang w:val="en-US" w:eastAsia="zh-CN"/>
        </w:rPr>
        <w:t>0</w:t>
      </w:r>
      <w:r>
        <w:rPr>
          <w:color w:val="auto"/>
        </w:rPr>
        <w:t>）]”。</w:t>
      </w:r>
      <w:r>
        <w:rPr>
          <w:color w:val="000000" w:themeColor="text1"/>
          <w14:textFill>
            <w14:solidFill>
              <w14:schemeClr w14:val="tx1"/>
            </w14:solidFill>
          </w14:textFill>
        </w:rPr>
        <w:t>故本项目企业突发环境事件风险等级为</w:t>
      </w:r>
      <w:r>
        <w:rPr>
          <w:rFonts w:hint="eastAsia"/>
          <w:color w:val="000000" w:themeColor="text1"/>
          <w:lang w:eastAsia="zh-CN"/>
          <w14:textFill>
            <w14:solidFill>
              <w14:schemeClr w14:val="tx1"/>
            </w14:solidFill>
          </w14:textFill>
        </w:rPr>
        <w:t>一般</w:t>
      </w:r>
      <w:r>
        <w:rPr>
          <w:color w:val="000000" w:themeColor="text1"/>
          <w14:textFill>
            <w14:solidFill>
              <w14:schemeClr w14:val="tx1"/>
            </w14:solidFill>
          </w14:textFill>
        </w:rPr>
        <w:t>环境风险等级。</w:t>
      </w:r>
    </w:p>
    <w:p>
      <w:pPr>
        <w:ind w:firstLine="560"/>
        <w:rPr>
          <w:color w:val="000000" w:themeColor="text1"/>
          <w14:textFill>
            <w14:solidFill>
              <w14:schemeClr w14:val="tx1"/>
            </w14:solidFill>
          </w14:textFill>
        </w:rPr>
      </w:pPr>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AFF" w:usb1="C0007841" w:usb2="00000009" w:usb3="00000000" w:csb0="400001FF" w:csb1="FFFF0000"/>
  </w:font>
  <w:font w:name="宋体">
    <w:panose1 w:val="02010600030101010101"/>
    <w:charset w:val="81"/>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altName w:val="宋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font>
  <w:font w:name="等线 Light">
    <w:panose1 w:val="02010600030101010101"/>
    <w:charset w:val="86"/>
    <w:family w:val="auto"/>
    <w:pitch w:val="default"/>
    <w:sig w:usb0="A00002BF" w:usb1="38CF7CFA" w:usb2="00000016" w:usb3="00000000" w:csb0="0004000F" w:csb1="00000000"/>
  </w:font>
  <w:font w:name="等线">
    <w:panose1 w:val="02010600030101010101"/>
    <w:charset w:val="86"/>
    <w:family w:val="auto"/>
    <w:pitch w:val="default"/>
    <w:sig w:usb0="A00002BF" w:usb1="38CF7CFA" w:usb2="00000016" w:usb3="00000000" w:csb0="0004000F" w:csb1="00000000"/>
  </w:font>
  <w:font w:name="Helvetica">
    <w:altName w:val="Arial"/>
    <w:panose1 w:val="020B0604020202020204"/>
    <w:charset w:val="00"/>
    <w:family w:val="swiss"/>
    <w:pitch w:val="default"/>
    <w:sig w:usb0="00000000" w:usb1="00000000" w:usb2="00000009" w:usb3="00000000" w:csb0="000001FF" w:csb1="00000000"/>
  </w:font>
  <w:font w:name="Arial Unicode MS">
    <w:altName w:val="宋体"/>
    <w:panose1 w:val="020B0604020202020204"/>
    <w:charset w:val="86"/>
    <w:family w:val="swiss"/>
    <w:pitch w:val="default"/>
    <w:sig w:usb0="00000000" w:usb1="00000000" w:usb2="0000003F" w:usb3="00000000" w:csb0="003F01FF" w:csb1="00000000"/>
  </w:font>
  <w:font w:name="TimesNewRomanPSMT">
    <w:altName w:val="Times New Roman"/>
    <w:panose1 w:val="00000000000000000000"/>
    <w:charset w:val="00"/>
    <w:family w:val="roman"/>
    <w:pitch w:val="default"/>
    <w:sig w:usb0="00000000" w:usb1="00000000" w:usb2="00000000" w:usb3="00000000" w:csb0="00000000" w:csb1="00000000"/>
  </w:font>
  <w:font w:name="Cambria Math">
    <w:panose1 w:val="02040503050406030204"/>
    <w:charset w:val="00"/>
    <w:family w:val="roman"/>
    <w:pitch w:val="default"/>
    <w:sig w:usb0="E00002FF" w:usb1="420024FF" w:usb2="00000000" w:usb3="00000000" w:csb0="2000019F" w:csb1="00000000"/>
  </w:font>
  <w:font w:name="微软雅黑">
    <w:panose1 w:val="020B0503020204020204"/>
    <w:charset w:val="86"/>
    <w:family w:val="auto"/>
    <w:pitch w:val="default"/>
    <w:sig w:usb0="80000287" w:usb1="280F3C52"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firstLine="360"/>
      <w:jc w:val="center"/>
    </w:pPr>
    <w:r>
      <w:fldChar w:fldCharType="begin"/>
    </w:r>
    <w:r>
      <w:instrText xml:space="preserve">PAGE   \* MERGEFORMAT</w:instrText>
    </w:r>
    <w:r>
      <w:fldChar w:fldCharType="separate"/>
    </w:r>
    <w:r>
      <w:rPr>
        <w:lang w:val="zh-CN"/>
      </w:rPr>
      <w:t>2</w:t>
    </w:r>
    <w:r>
      <w:fldChar w:fldCharType="end"/>
    </w:r>
  </w:p>
  <w:p>
    <w:pPr>
      <w:pStyle w:val="17"/>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firstLine="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firstLine="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ind w:firstLine="360"/>
      <w:jc w:val="center"/>
    </w:pPr>
    <w:r>
      <w:fldChar w:fldCharType="begin"/>
    </w:r>
    <w:r>
      <w:instrText xml:space="preserve">PAGE   \* MERGEFORMAT</w:instrText>
    </w:r>
    <w:r>
      <w:fldChar w:fldCharType="separate"/>
    </w:r>
    <w:r>
      <w:rPr>
        <w:lang w:val="zh-CN"/>
      </w:rPr>
      <w:t>2</w:t>
    </w:r>
    <w:r>
      <w:fldChar w:fldCharType="end"/>
    </w:r>
  </w:p>
  <w:p>
    <w:pPr>
      <w:pStyle w:val="17"/>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ind w:firstLine="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ind w:firstLine="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Bdr>
        <w:bottom w:val="none" w:color="auto" w:sz="0" w:space="0"/>
      </w:pBdr>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08D02AC"/>
    <w:multiLevelType w:val="singleLevel"/>
    <w:tmpl w:val="A08D02AC"/>
    <w:lvl w:ilvl="0" w:tentative="0">
      <w:start w:val="1"/>
      <w:numFmt w:val="decimal"/>
      <w:suff w:val="nothing"/>
      <w:lvlText w:val="（%1）"/>
      <w:lvlJc w:val="left"/>
    </w:lvl>
  </w:abstractNum>
  <w:abstractNum w:abstractNumId="1">
    <w:nsid w:val="F22E0A8C"/>
    <w:multiLevelType w:val="singleLevel"/>
    <w:tmpl w:val="F22E0A8C"/>
    <w:lvl w:ilvl="0" w:tentative="0">
      <w:start w:val="1"/>
      <w:numFmt w:val="decimal"/>
      <w:suff w:val="nothing"/>
      <w:lvlText w:val="（%1）"/>
      <w:lvlJc w:val="left"/>
      <w:rPr>
        <w:rFonts w:hint="default" w:ascii="Times New Roman" w:hAnsi="Times New Roman" w:cs="Times New Roman"/>
      </w:rPr>
    </w:lvl>
  </w:abstractNum>
  <w:abstractNum w:abstractNumId="2">
    <w:nsid w:val="4CCC3F68"/>
    <w:multiLevelType w:val="singleLevel"/>
    <w:tmpl w:val="4CCC3F68"/>
    <w:lvl w:ilvl="0" w:tentative="0">
      <w:start w:val="1"/>
      <w:numFmt w:val="decimal"/>
      <w:suff w:val="nothing"/>
      <w:lvlText w:val="（%1）"/>
      <w:lvlJc w:val="left"/>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0"/>
  <w:bordersDoNotSurroundFooter w:val="0"/>
  <w:documentProtection w:enforcement="0"/>
  <w:defaultTabStop w:val="280"/>
  <w:drawingGridHorizontalSpacing w:val="120"/>
  <w:drawingGridVerticalSpacing w:val="163"/>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EzN2NmZjg0MDkyOGQ3ZGQ0MTgzMGQ4MmU1NjA1MzcifQ=="/>
  </w:docVars>
  <w:rsids>
    <w:rsidRoot w:val="00050809"/>
    <w:rsid w:val="000049ED"/>
    <w:rsid w:val="000159CE"/>
    <w:rsid w:val="00027607"/>
    <w:rsid w:val="00034DC4"/>
    <w:rsid w:val="00035B15"/>
    <w:rsid w:val="000419F3"/>
    <w:rsid w:val="00045D78"/>
    <w:rsid w:val="000505D6"/>
    <w:rsid w:val="00050809"/>
    <w:rsid w:val="00060816"/>
    <w:rsid w:val="00082FB7"/>
    <w:rsid w:val="000A1EAB"/>
    <w:rsid w:val="000A39BD"/>
    <w:rsid w:val="000B0C3C"/>
    <w:rsid w:val="000B31D9"/>
    <w:rsid w:val="000B352E"/>
    <w:rsid w:val="000B4AB0"/>
    <w:rsid w:val="000B69B0"/>
    <w:rsid w:val="000C1B7E"/>
    <w:rsid w:val="000C212B"/>
    <w:rsid w:val="000C58F5"/>
    <w:rsid w:val="000D2B42"/>
    <w:rsid w:val="000D43BC"/>
    <w:rsid w:val="000E03A6"/>
    <w:rsid w:val="000E2A47"/>
    <w:rsid w:val="00100F23"/>
    <w:rsid w:val="00103248"/>
    <w:rsid w:val="0010348B"/>
    <w:rsid w:val="001237B5"/>
    <w:rsid w:val="00130943"/>
    <w:rsid w:val="0013375F"/>
    <w:rsid w:val="001341B6"/>
    <w:rsid w:val="0014156E"/>
    <w:rsid w:val="001423BC"/>
    <w:rsid w:val="00145EE5"/>
    <w:rsid w:val="00150C98"/>
    <w:rsid w:val="00175255"/>
    <w:rsid w:val="00192D57"/>
    <w:rsid w:val="00197970"/>
    <w:rsid w:val="001A0400"/>
    <w:rsid w:val="001A60DF"/>
    <w:rsid w:val="001B4E27"/>
    <w:rsid w:val="001B703F"/>
    <w:rsid w:val="001C6F5C"/>
    <w:rsid w:val="001C747F"/>
    <w:rsid w:val="001D0F6B"/>
    <w:rsid w:val="001D26C0"/>
    <w:rsid w:val="001E21AB"/>
    <w:rsid w:val="001E259B"/>
    <w:rsid w:val="001E7001"/>
    <w:rsid w:val="002231F2"/>
    <w:rsid w:val="00224702"/>
    <w:rsid w:val="002375A3"/>
    <w:rsid w:val="00241F00"/>
    <w:rsid w:val="00245EDA"/>
    <w:rsid w:val="00251630"/>
    <w:rsid w:val="00254EBF"/>
    <w:rsid w:val="0025751B"/>
    <w:rsid w:val="00260F4E"/>
    <w:rsid w:val="002616B2"/>
    <w:rsid w:val="00261A1D"/>
    <w:rsid w:val="002650C3"/>
    <w:rsid w:val="00265F80"/>
    <w:rsid w:val="00270D0B"/>
    <w:rsid w:val="0027494F"/>
    <w:rsid w:val="0027557F"/>
    <w:rsid w:val="00277906"/>
    <w:rsid w:val="00284BA7"/>
    <w:rsid w:val="0028551B"/>
    <w:rsid w:val="00290CEB"/>
    <w:rsid w:val="00297C49"/>
    <w:rsid w:val="002A41BD"/>
    <w:rsid w:val="002B0740"/>
    <w:rsid w:val="002B3EA5"/>
    <w:rsid w:val="002B5003"/>
    <w:rsid w:val="002B51C9"/>
    <w:rsid w:val="002C1E87"/>
    <w:rsid w:val="002C28C6"/>
    <w:rsid w:val="002C43AD"/>
    <w:rsid w:val="002D514B"/>
    <w:rsid w:val="002D7283"/>
    <w:rsid w:val="003125D4"/>
    <w:rsid w:val="0032147C"/>
    <w:rsid w:val="00324605"/>
    <w:rsid w:val="003332F2"/>
    <w:rsid w:val="00334B1D"/>
    <w:rsid w:val="003374BC"/>
    <w:rsid w:val="00343C11"/>
    <w:rsid w:val="00351EA0"/>
    <w:rsid w:val="003532CB"/>
    <w:rsid w:val="003620AF"/>
    <w:rsid w:val="00373221"/>
    <w:rsid w:val="00377798"/>
    <w:rsid w:val="00386199"/>
    <w:rsid w:val="003A2D44"/>
    <w:rsid w:val="003A37C4"/>
    <w:rsid w:val="003C2486"/>
    <w:rsid w:val="003C4EA9"/>
    <w:rsid w:val="003C4F88"/>
    <w:rsid w:val="003C5B05"/>
    <w:rsid w:val="003C7A69"/>
    <w:rsid w:val="003D0E08"/>
    <w:rsid w:val="003D26A9"/>
    <w:rsid w:val="003D79BD"/>
    <w:rsid w:val="003E4B4B"/>
    <w:rsid w:val="003F02E6"/>
    <w:rsid w:val="003F4207"/>
    <w:rsid w:val="00400091"/>
    <w:rsid w:val="00422B83"/>
    <w:rsid w:val="0042701E"/>
    <w:rsid w:val="00430925"/>
    <w:rsid w:val="0043490F"/>
    <w:rsid w:val="00436ED0"/>
    <w:rsid w:val="00445D6F"/>
    <w:rsid w:val="00470D93"/>
    <w:rsid w:val="0048185A"/>
    <w:rsid w:val="004848EB"/>
    <w:rsid w:val="00492865"/>
    <w:rsid w:val="00495EAD"/>
    <w:rsid w:val="00497068"/>
    <w:rsid w:val="004A7261"/>
    <w:rsid w:val="004B0E6D"/>
    <w:rsid w:val="004B0F1B"/>
    <w:rsid w:val="004C71B7"/>
    <w:rsid w:val="004D0A42"/>
    <w:rsid w:val="004D10D6"/>
    <w:rsid w:val="004D301C"/>
    <w:rsid w:val="004F40EC"/>
    <w:rsid w:val="005007AC"/>
    <w:rsid w:val="005011E8"/>
    <w:rsid w:val="0050341C"/>
    <w:rsid w:val="00504D64"/>
    <w:rsid w:val="005133B5"/>
    <w:rsid w:val="00524844"/>
    <w:rsid w:val="005340A6"/>
    <w:rsid w:val="00536752"/>
    <w:rsid w:val="00541CC9"/>
    <w:rsid w:val="0054774B"/>
    <w:rsid w:val="005479D9"/>
    <w:rsid w:val="00550DAA"/>
    <w:rsid w:val="00553E1C"/>
    <w:rsid w:val="00553FC1"/>
    <w:rsid w:val="00555EA9"/>
    <w:rsid w:val="00571426"/>
    <w:rsid w:val="00574449"/>
    <w:rsid w:val="00574C63"/>
    <w:rsid w:val="005956D0"/>
    <w:rsid w:val="005A1C5E"/>
    <w:rsid w:val="005A20EF"/>
    <w:rsid w:val="005A626E"/>
    <w:rsid w:val="005B1B01"/>
    <w:rsid w:val="005C6BB6"/>
    <w:rsid w:val="005D0E90"/>
    <w:rsid w:val="005D12ED"/>
    <w:rsid w:val="005F12C9"/>
    <w:rsid w:val="005F6126"/>
    <w:rsid w:val="005F7F93"/>
    <w:rsid w:val="00602483"/>
    <w:rsid w:val="00611259"/>
    <w:rsid w:val="006230C8"/>
    <w:rsid w:val="0062363A"/>
    <w:rsid w:val="006269DA"/>
    <w:rsid w:val="0063075C"/>
    <w:rsid w:val="006356B2"/>
    <w:rsid w:val="00642EE7"/>
    <w:rsid w:val="00644A0A"/>
    <w:rsid w:val="00646C77"/>
    <w:rsid w:val="006477DD"/>
    <w:rsid w:val="00651AAB"/>
    <w:rsid w:val="00653BF4"/>
    <w:rsid w:val="006545DE"/>
    <w:rsid w:val="006555BD"/>
    <w:rsid w:val="006560A9"/>
    <w:rsid w:val="00656A7E"/>
    <w:rsid w:val="0066336B"/>
    <w:rsid w:val="00672852"/>
    <w:rsid w:val="0068227A"/>
    <w:rsid w:val="006826DC"/>
    <w:rsid w:val="00686B19"/>
    <w:rsid w:val="00693198"/>
    <w:rsid w:val="0069382D"/>
    <w:rsid w:val="006960E6"/>
    <w:rsid w:val="006A60EE"/>
    <w:rsid w:val="006B17AE"/>
    <w:rsid w:val="006B25EC"/>
    <w:rsid w:val="006B477A"/>
    <w:rsid w:val="006D073B"/>
    <w:rsid w:val="006D5102"/>
    <w:rsid w:val="006E3296"/>
    <w:rsid w:val="006F13DA"/>
    <w:rsid w:val="0070611F"/>
    <w:rsid w:val="007069B5"/>
    <w:rsid w:val="00712543"/>
    <w:rsid w:val="00713731"/>
    <w:rsid w:val="00727CC7"/>
    <w:rsid w:val="00735108"/>
    <w:rsid w:val="007353A6"/>
    <w:rsid w:val="00737E57"/>
    <w:rsid w:val="0074059D"/>
    <w:rsid w:val="007441D8"/>
    <w:rsid w:val="00753EFA"/>
    <w:rsid w:val="007558E3"/>
    <w:rsid w:val="0076577F"/>
    <w:rsid w:val="0077491A"/>
    <w:rsid w:val="00774F92"/>
    <w:rsid w:val="00794BDF"/>
    <w:rsid w:val="007967D8"/>
    <w:rsid w:val="007A0A7C"/>
    <w:rsid w:val="007A5DCE"/>
    <w:rsid w:val="007B34C8"/>
    <w:rsid w:val="007B38A4"/>
    <w:rsid w:val="007C05A2"/>
    <w:rsid w:val="007C4C5F"/>
    <w:rsid w:val="007C7C52"/>
    <w:rsid w:val="007D1378"/>
    <w:rsid w:val="007D2598"/>
    <w:rsid w:val="007D727D"/>
    <w:rsid w:val="007D7B4D"/>
    <w:rsid w:val="007E2BEF"/>
    <w:rsid w:val="007E6386"/>
    <w:rsid w:val="007F0C84"/>
    <w:rsid w:val="007F2E15"/>
    <w:rsid w:val="007F751D"/>
    <w:rsid w:val="007F7C29"/>
    <w:rsid w:val="00812AE1"/>
    <w:rsid w:val="00813230"/>
    <w:rsid w:val="00814EFC"/>
    <w:rsid w:val="00817182"/>
    <w:rsid w:val="00817EDB"/>
    <w:rsid w:val="00831CB6"/>
    <w:rsid w:val="008323F6"/>
    <w:rsid w:val="00837444"/>
    <w:rsid w:val="00851C4B"/>
    <w:rsid w:val="0085229F"/>
    <w:rsid w:val="0085236A"/>
    <w:rsid w:val="00857784"/>
    <w:rsid w:val="00864D40"/>
    <w:rsid w:val="00870598"/>
    <w:rsid w:val="00870F1B"/>
    <w:rsid w:val="00871B54"/>
    <w:rsid w:val="008722A6"/>
    <w:rsid w:val="00872DBD"/>
    <w:rsid w:val="00890B78"/>
    <w:rsid w:val="008A2639"/>
    <w:rsid w:val="008C7B21"/>
    <w:rsid w:val="008D7A22"/>
    <w:rsid w:val="008E228C"/>
    <w:rsid w:val="008E4105"/>
    <w:rsid w:val="008F1152"/>
    <w:rsid w:val="008F655B"/>
    <w:rsid w:val="00900DED"/>
    <w:rsid w:val="00907CF5"/>
    <w:rsid w:val="009139A6"/>
    <w:rsid w:val="009237AB"/>
    <w:rsid w:val="00925675"/>
    <w:rsid w:val="00927AE5"/>
    <w:rsid w:val="00927E4A"/>
    <w:rsid w:val="00937E2A"/>
    <w:rsid w:val="00940729"/>
    <w:rsid w:val="00940BD8"/>
    <w:rsid w:val="009474AF"/>
    <w:rsid w:val="009524B1"/>
    <w:rsid w:val="00963554"/>
    <w:rsid w:val="00971F03"/>
    <w:rsid w:val="00972034"/>
    <w:rsid w:val="009727F7"/>
    <w:rsid w:val="00973463"/>
    <w:rsid w:val="00973661"/>
    <w:rsid w:val="009741FF"/>
    <w:rsid w:val="00974C41"/>
    <w:rsid w:val="00975829"/>
    <w:rsid w:val="00984CBC"/>
    <w:rsid w:val="0099088F"/>
    <w:rsid w:val="00991912"/>
    <w:rsid w:val="009941EF"/>
    <w:rsid w:val="00994B13"/>
    <w:rsid w:val="00997550"/>
    <w:rsid w:val="00997F07"/>
    <w:rsid w:val="009A0530"/>
    <w:rsid w:val="009A1996"/>
    <w:rsid w:val="009A402E"/>
    <w:rsid w:val="009A7833"/>
    <w:rsid w:val="009C4392"/>
    <w:rsid w:val="009D2894"/>
    <w:rsid w:val="009D7278"/>
    <w:rsid w:val="009E3587"/>
    <w:rsid w:val="00A00336"/>
    <w:rsid w:val="00A024A4"/>
    <w:rsid w:val="00A118C2"/>
    <w:rsid w:val="00A12781"/>
    <w:rsid w:val="00A12FB6"/>
    <w:rsid w:val="00A14F9C"/>
    <w:rsid w:val="00A17552"/>
    <w:rsid w:val="00A17F8D"/>
    <w:rsid w:val="00A21148"/>
    <w:rsid w:val="00A23CFC"/>
    <w:rsid w:val="00A260DF"/>
    <w:rsid w:val="00A318FA"/>
    <w:rsid w:val="00A3480B"/>
    <w:rsid w:val="00A3540A"/>
    <w:rsid w:val="00A41636"/>
    <w:rsid w:val="00A476CE"/>
    <w:rsid w:val="00A47884"/>
    <w:rsid w:val="00A60CF0"/>
    <w:rsid w:val="00A613CD"/>
    <w:rsid w:val="00A6553F"/>
    <w:rsid w:val="00A66474"/>
    <w:rsid w:val="00A6664F"/>
    <w:rsid w:val="00A73FD2"/>
    <w:rsid w:val="00A74BD0"/>
    <w:rsid w:val="00A779A2"/>
    <w:rsid w:val="00A80F67"/>
    <w:rsid w:val="00A83589"/>
    <w:rsid w:val="00A90C35"/>
    <w:rsid w:val="00A928AB"/>
    <w:rsid w:val="00A944EF"/>
    <w:rsid w:val="00AA43AC"/>
    <w:rsid w:val="00AA63AC"/>
    <w:rsid w:val="00AB7128"/>
    <w:rsid w:val="00AB7CBE"/>
    <w:rsid w:val="00AC1A0A"/>
    <w:rsid w:val="00AC772E"/>
    <w:rsid w:val="00AE6AE3"/>
    <w:rsid w:val="00AF302D"/>
    <w:rsid w:val="00AF4DBF"/>
    <w:rsid w:val="00AF5B58"/>
    <w:rsid w:val="00AF61AD"/>
    <w:rsid w:val="00B00AD7"/>
    <w:rsid w:val="00B012F1"/>
    <w:rsid w:val="00B01BEE"/>
    <w:rsid w:val="00B11652"/>
    <w:rsid w:val="00B3122B"/>
    <w:rsid w:val="00B41822"/>
    <w:rsid w:val="00B45B44"/>
    <w:rsid w:val="00B4737F"/>
    <w:rsid w:val="00B50BDA"/>
    <w:rsid w:val="00B6202C"/>
    <w:rsid w:val="00B62D4B"/>
    <w:rsid w:val="00B816A9"/>
    <w:rsid w:val="00B83AFF"/>
    <w:rsid w:val="00B96C93"/>
    <w:rsid w:val="00BA45DE"/>
    <w:rsid w:val="00BB2718"/>
    <w:rsid w:val="00BD0CD6"/>
    <w:rsid w:val="00BD1ECF"/>
    <w:rsid w:val="00BD2C16"/>
    <w:rsid w:val="00BE180F"/>
    <w:rsid w:val="00BF4A81"/>
    <w:rsid w:val="00C07FC2"/>
    <w:rsid w:val="00C106CF"/>
    <w:rsid w:val="00C12390"/>
    <w:rsid w:val="00C13E41"/>
    <w:rsid w:val="00C23A69"/>
    <w:rsid w:val="00C2526E"/>
    <w:rsid w:val="00C27583"/>
    <w:rsid w:val="00C52F04"/>
    <w:rsid w:val="00C56136"/>
    <w:rsid w:val="00C57FD8"/>
    <w:rsid w:val="00C61060"/>
    <w:rsid w:val="00C62FFE"/>
    <w:rsid w:val="00C6621A"/>
    <w:rsid w:val="00C664B9"/>
    <w:rsid w:val="00C73F94"/>
    <w:rsid w:val="00C748C0"/>
    <w:rsid w:val="00C81158"/>
    <w:rsid w:val="00C82601"/>
    <w:rsid w:val="00C8297C"/>
    <w:rsid w:val="00C90100"/>
    <w:rsid w:val="00C9018E"/>
    <w:rsid w:val="00CA795B"/>
    <w:rsid w:val="00CB2750"/>
    <w:rsid w:val="00CB4B16"/>
    <w:rsid w:val="00CB521A"/>
    <w:rsid w:val="00CB6961"/>
    <w:rsid w:val="00CB7669"/>
    <w:rsid w:val="00CC03DB"/>
    <w:rsid w:val="00CC3711"/>
    <w:rsid w:val="00CD4893"/>
    <w:rsid w:val="00CD7D7F"/>
    <w:rsid w:val="00D1037A"/>
    <w:rsid w:val="00D113F4"/>
    <w:rsid w:val="00D147D6"/>
    <w:rsid w:val="00D22058"/>
    <w:rsid w:val="00D24D05"/>
    <w:rsid w:val="00D4357C"/>
    <w:rsid w:val="00D46DF7"/>
    <w:rsid w:val="00D508B8"/>
    <w:rsid w:val="00D5536F"/>
    <w:rsid w:val="00D55782"/>
    <w:rsid w:val="00D64E87"/>
    <w:rsid w:val="00D736B8"/>
    <w:rsid w:val="00D75E1E"/>
    <w:rsid w:val="00D76467"/>
    <w:rsid w:val="00D76C6E"/>
    <w:rsid w:val="00D82154"/>
    <w:rsid w:val="00D82615"/>
    <w:rsid w:val="00D838A4"/>
    <w:rsid w:val="00D97776"/>
    <w:rsid w:val="00DA2F26"/>
    <w:rsid w:val="00DA47F9"/>
    <w:rsid w:val="00DC17F9"/>
    <w:rsid w:val="00DC47FA"/>
    <w:rsid w:val="00DC7FF2"/>
    <w:rsid w:val="00DD0C63"/>
    <w:rsid w:val="00DE5A4B"/>
    <w:rsid w:val="00DE7974"/>
    <w:rsid w:val="00DF5029"/>
    <w:rsid w:val="00DF5FB7"/>
    <w:rsid w:val="00E00F2C"/>
    <w:rsid w:val="00E043B1"/>
    <w:rsid w:val="00E07194"/>
    <w:rsid w:val="00E0789C"/>
    <w:rsid w:val="00E22A71"/>
    <w:rsid w:val="00E27C2E"/>
    <w:rsid w:val="00E33960"/>
    <w:rsid w:val="00E36AEE"/>
    <w:rsid w:val="00E538B5"/>
    <w:rsid w:val="00E54E70"/>
    <w:rsid w:val="00E5620E"/>
    <w:rsid w:val="00E60B5C"/>
    <w:rsid w:val="00E64A1E"/>
    <w:rsid w:val="00E668C3"/>
    <w:rsid w:val="00E701A2"/>
    <w:rsid w:val="00E72820"/>
    <w:rsid w:val="00E76B0E"/>
    <w:rsid w:val="00E95BA5"/>
    <w:rsid w:val="00EA06BF"/>
    <w:rsid w:val="00EB18B0"/>
    <w:rsid w:val="00EB7E0E"/>
    <w:rsid w:val="00EC0AD8"/>
    <w:rsid w:val="00ED3C19"/>
    <w:rsid w:val="00ED780B"/>
    <w:rsid w:val="00ED7ECA"/>
    <w:rsid w:val="00EE3853"/>
    <w:rsid w:val="00EE6AD3"/>
    <w:rsid w:val="00EF324E"/>
    <w:rsid w:val="00EF47E2"/>
    <w:rsid w:val="00F131EC"/>
    <w:rsid w:val="00F15BBD"/>
    <w:rsid w:val="00F20D5A"/>
    <w:rsid w:val="00F2214C"/>
    <w:rsid w:val="00F23EA0"/>
    <w:rsid w:val="00F41C54"/>
    <w:rsid w:val="00F46083"/>
    <w:rsid w:val="00F46C7F"/>
    <w:rsid w:val="00F636FF"/>
    <w:rsid w:val="00F677DF"/>
    <w:rsid w:val="00F73251"/>
    <w:rsid w:val="00F96A36"/>
    <w:rsid w:val="00FA38EF"/>
    <w:rsid w:val="00FA6303"/>
    <w:rsid w:val="00FB43A8"/>
    <w:rsid w:val="00FD125C"/>
    <w:rsid w:val="00FE40DF"/>
    <w:rsid w:val="00FE6A74"/>
    <w:rsid w:val="02E37041"/>
    <w:rsid w:val="04651D89"/>
    <w:rsid w:val="09196636"/>
    <w:rsid w:val="096F1C8C"/>
    <w:rsid w:val="0A2D0BC7"/>
    <w:rsid w:val="0C5B7CCB"/>
    <w:rsid w:val="11252143"/>
    <w:rsid w:val="13203999"/>
    <w:rsid w:val="144F5584"/>
    <w:rsid w:val="17911DD3"/>
    <w:rsid w:val="191F0647"/>
    <w:rsid w:val="19A32E00"/>
    <w:rsid w:val="1B4D36AA"/>
    <w:rsid w:val="1B8847D2"/>
    <w:rsid w:val="1E2A47F4"/>
    <w:rsid w:val="1F2D002E"/>
    <w:rsid w:val="20144886"/>
    <w:rsid w:val="21A40C10"/>
    <w:rsid w:val="23B93D9C"/>
    <w:rsid w:val="24605320"/>
    <w:rsid w:val="26056EE9"/>
    <w:rsid w:val="29667B4D"/>
    <w:rsid w:val="2B8D1742"/>
    <w:rsid w:val="2C33355D"/>
    <w:rsid w:val="2C5A502F"/>
    <w:rsid w:val="2E663765"/>
    <w:rsid w:val="2F8F0E33"/>
    <w:rsid w:val="308D7BD0"/>
    <w:rsid w:val="314D7DDB"/>
    <w:rsid w:val="31F42CF7"/>
    <w:rsid w:val="331A07FC"/>
    <w:rsid w:val="337C2EB5"/>
    <w:rsid w:val="33AA0779"/>
    <w:rsid w:val="34FB1589"/>
    <w:rsid w:val="35864F6D"/>
    <w:rsid w:val="37D23EF4"/>
    <w:rsid w:val="38C72BF0"/>
    <w:rsid w:val="394E6EBB"/>
    <w:rsid w:val="3AFF7A6B"/>
    <w:rsid w:val="3C3F279E"/>
    <w:rsid w:val="3C74072E"/>
    <w:rsid w:val="3DC502BA"/>
    <w:rsid w:val="3E0C2BE9"/>
    <w:rsid w:val="4536292A"/>
    <w:rsid w:val="473416EE"/>
    <w:rsid w:val="4E507A4A"/>
    <w:rsid w:val="4F0C78AF"/>
    <w:rsid w:val="4F805E98"/>
    <w:rsid w:val="4F851B03"/>
    <w:rsid w:val="516E54D7"/>
    <w:rsid w:val="52D93C1E"/>
    <w:rsid w:val="55072635"/>
    <w:rsid w:val="56F01CA8"/>
    <w:rsid w:val="584310F2"/>
    <w:rsid w:val="586345C7"/>
    <w:rsid w:val="58F057A7"/>
    <w:rsid w:val="59E875AB"/>
    <w:rsid w:val="5E8819C0"/>
    <w:rsid w:val="5FA97229"/>
    <w:rsid w:val="659375C8"/>
    <w:rsid w:val="679B5893"/>
    <w:rsid w:val="6876315A"/>
    <w:rsid w:val="69292E3C"/>
    <w:rsid w:val="6D51742A"/>
    <w:rsid w:val="6E4476B1"/>
    <w:rsid w:val="6E4B4EE4"/>
    <w:rsid w:val="71D40471"/>
    <w:rsid w:val="71D46CA5"/>
    <w:rsid w:val="7248475B"/>
    <w:rsid w:val="73FE6554"/>
    <w:rsid w:val="762F6E99"/>
    <w:rsid w:val="767414B9"/>
    <w:rsid w:val="773C1CFA"/>
    <w:rsid w:val="781A76D5"/>
    <w:rsid w:val="796154A4"/>
    <w:rsid w:val="79690914"/>
    <w:rsid w:val="7DF30D2D"/>
    <w:rsid w:val="7EC17E9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qFormat="1"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uiPriority="99"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unhideWhenUsed="0" w:uiPriority="11" w:semiHidden="0" w:name="Subtitle"/>
    <w:lsdException w:uiPriority="99" w:name="Salutation"/>
    <w:lsdException w:uiPriority="99" w:name="Date"/>
    <w:lsdException w:uiPriority="99" w:name="Body Text First Indent"/>
    <w:lsdException w:qFormat="1" w:uiPriority="99"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semiHidden="0" w:name="FollowedHyperlink"/>
    <w:lsdException w:unhideWhenUsed="0" w:uiPriority="22" w:semiHidden="0" w:name="Strong"/>
    <w:lsdException w:unhideWhenUsed="0" w:uiPriority="20" w:semiHidden="0" w:name="Emphasis"/>
    <w:lsdException w:uiPriority="99" w:name="Document Map"/>
    <w:lsdException w:qFormat="1"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200" w:firstLineChars="200"/>
      <w:jc w:val="both"/>
    </w:pPr>
    <w:rPr>
      <w:rFonts w:ascii="Times New Roman" w:hAnsi="Times New Roman" w:eastAsia="仿宋" w:cs="Times New Roman"/>
      <w:kern w:val="2"/>
      <w:sz w:val="24"/>
      <w:szCs w:val="21"/>
      <w:lang w:val="en-US" w:eastAsia="zh-CN" w:bidi="ar-SA"/>
    </w:rPr>
  </w:style>
  <w:style w:type="paragraph" w:styleId="9">
    <w:name w:val="heading 1"/>
    <w:basedOn w:val="1"/>
    <w:next w:val="1"/>
    <w:link w:val="31"/>
    <w:qFormat/>
    <w:uiPriority w:val="99"/>
    <w:pPr>
      <w:keepNext/>
      <w:keepLines/>
      <w:spacing w:line="300" w:lineRule="auto"/>
      <w:ind w:firstLine="0" w:firstLineChars="0"/>
      <w:outlineLvl w:val="0"/>
    </w:pPr>
    <w:rPr>
      <w:b/>
      <w:bCs/>
      <w:kern w:val="44"/>
      <w:sz w:val="30"/>
      <w:szCs w:val="44"/>
    </w:rPr>
  </w:style>
  <w:style w:type="paragraph" w:styleId="10">
    <w:name w:val="heading 2"/>
    <w:basedOn w:val="1"/>
    <w:next w:val="1"/>
    <w:link w:val="32"/>
    <w:qFormat/>
    <w:uiPriority w:val="99"/>
    <w:pPr>
      <w:keepNext/>
      <w:keepLines/>
      <w:spacing w:line="300" w:lineRule="auto"/>
      <w:ind w:firstLine="100" w:firstLineChars="100"/>
      <w:outlineLvl w:val="1"/>
    </w:pPr>
    <w:rPr>
      <w:b/>
      <w:bCs/>
      <w:sz w:val="28"/>
      <w:szCs w:val="32"/>
    </w:rPr>
  </w:style>
  <w:style w:type="paragraph" w:styleId="11">
    <w:name w:val="heading 3"/>
    <w:next w:val="1"/>
    <w:link w:val="33"/>
    <w:qFormat/>
    <w:uiPriority w:val="99"/>
    <w:pPr>
      <w:keepNext/>
      <w:keepLines/>
      <w:spacing w:line="300" w:lineRule="auto"/>
      <w:ind w:firstLine="200" w:firstLineChars="200"/>
      <w:outlineLvl w:val="2"/>
    </w:pPr>
    <w:rPr>
      <w:rFonts w:ascii="Times New Roman" w:hAnsi="Times New Roman" w:eastAsia="宋体" w:cs="Times New Roman"/>
      <w:b/>
      <w:bCs/>
      <w:kern w:val="2"/>
      <w:sz w:val="24"/>
      <w:szCs w:val="32"/>
      <w:lang w:val="en-US" w:eastAsia="zh-CN" w:bidi="ar-SA"/>
    </w:rPr>
  </w:style>
  <w:style w:type="paragraph" w:styleId="12">
    <w:name w:val="heading 4"/>
    <w:basedOn w:val="1"/>
    <w:next w:val="1"/>
    <w:link w:val="64"/>
    <w:unhideWhenUsed/>
    <w:qFormat/>
    <w:uiPriority w:val="9"/>
    <w:pPr>
      <w:keepNext/>
      <w:keepLines/>
      <w:spacing w:before="280" w:after="290" w:line="376" w:lineRule="auto"/>
      <w:outlineLvl w:val="3"/>
    </w:pPr>
    <w:rPr>
      <w:rFonts w:asciiTheme="majorHAnsi" w:hAnsiTheme="majorHAnsi" w:eastAsiaTheme="majorEastAsia" w:cstheme="majorBidi"/>
      <w:b/>
      <w:bCs/>
      <w:szCs w:val="28"/>
    </w:rPr>
  </w:style>
  <w:style w:type="character" w:default="1" w:styleId="24">
    <w:name w:val="Default Paragraph Font"/>
    <w:semiHidden/>
    <w:unhideWhenUsed/>
    <w:qFormat/>
    <w:uiPriority w:val="1"/>
  </w:style>
  <w:style w:type="table" w:default="1" w:styleId="22">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1"/>
    <w:unhideWhenUsed/>
    <w:qFormat/>
    <w:uiPriority w:val="99"/>
    <w:pPr>
      <w:tabs>
        <w:tab w:val="left" w:pos="900"/>
      </w:tabs>
      <w:spacing w:after="120" w:line="240" w:lineRule="auto"/>
      <w:ind w:left="420" w:leftChars="200" w:firstLine="210"/>
    </w:pPr>
    <w:rPr>
      <w:sz w:val="21"/>
    </w:rPr>
  </w:style>
  <w:style w:type="paragraph" w:styleId="3">
    <w:name w:val="Body Text Indent"/>
    <w:basedOn w:val="1"/>
    <w:next w:val="4"/>
    <w:unhideWhenUsed/>
    <w:qFormat/>
    <w:uiPriority w:val="0"/>
    <w:pPr>
      <w:widowControl/>
      <w:spacing w:after="120" w:afterLines="0"/>
      <w:ind w:left="420" w:leftChars="200"/>
    </w:pPr>
    <w:rPr>
      <w:kern w:val="0"/>
      <w:sz w:val="20"/>
      <w:szCs w:val="20"/>
    </w:rPr>
  </w:style>
  <w:style w:type="paragraph" w:styleId="4">
    <w:name w:val="header"/>
    <w:basedOn w:val="1"/>
    <w:next w:val="5"/>
    <w:link w:val="29"/>
    <w:unhideWhenUsed/>
    <w:qFormat/>
    <w:uiPriority w:val="99"/>
    <w:pPr>
      <w:pBdr>
        <w:bottom w:val="single" w:color="auto" w:sz="6" w:space="1"/>
      </w:pBdr>
      <w:tabs>
        <w:tab w:val="center" w:pos="4153"/>
        <w:tab w:val="right" w:pos="8306"/>
      </w:tabs>
      <w:snapToGrid w:val="0"/>
      <w:jc w:val="center"/>
    </w:pPr>
    <w:rPr>
      <w:sz w:val="18"/>
      <w:szCs w:val="18"/>
    </w:rPr>
  </w:style>
  <w:style w:type="paragraph" w:customStyle="1" w:styleId="5">
    <w:name w:val="样式5"/>
    <w:basedOn w:val="6"/>
    <w:qFormat/>
    <w:uiPriority w:val="0"/>
    <w:rPr>
      <w:rFonts w:ascii="黑体" w:hAnsi="Times New Roman"/>
    </w:rPr>
  </w:style>
  <w:style w:type="paragraph" w:customStyle="1" w:styleId="6">
    <w:name w:val="样式3"/>
    <w:basedOn w:val="7"/>
    <w:qFormat/>
    <w:uiPriority w:val="0"/>
    <w:pPr>
      <w:jc w:val="center"/>
    </w:pPr>
    <w:rPr>
      <w:rFonts w:hAnsi="黑体" w:eastAsia="黑体"/>
      <w:color w:val="000000"/>
      <w:sz w:val="24"/>
      <w:szCs w:val="24"/>
    </w:rPr>
  </w:style>
  <w:style w:type="paragraph" w:customStyle="1" w:styleId="7">
    <w:name w:val="样式2"/>
    <w:basedOn w:val="8"/>
    <w:qFormat/>
    <w:uiPriority w:val="0"/>
    <w:pPr>
      <w:pBdr>
        <w:top w:val="thickThinSmallGap" w:color="auto" w:sz="24" w:space="1"/>
      </w:pBdr>
    </w:pPr>
  </w:style>
  <w:style w:type="paragraph" w:customStyle="1" w:styleId="8">
    <w:name w:val="正文 + 宋体"/>
    <w:basedOn w:val="1"/>
    <w:qFormat/>
    <w:uiPriority w:val="0"/>
    <w:pPr>
      <w:snapToGrid w:val="0"/>
      <w:ind w:firstLine="648" w:firstLineChars="245"/>
    </w:pPr>
    <w:rPr>
      <w:rFonts w:ascii="宋体" w:hAnsi="宋体"/>
    </w:rPr>
  </w:style>
  <w:style w:type="paragraph" w:styleId="13">
    <w:name w:val="annotation text"/>
    <w:basedOn w:val="1"/>
    <w:link w:val="53"/>
    <w:semiHidden/>
    <w:unhideWhenUsed/>
    <w:qFormat/>
    <w:uiPriority w:val="99"/>
    <w:pPr>
      <w:jc w:val="left"/>
    </w:pPr>
  </w:style>
  <w:style w:type="paragraph" w:styleId="14">
    <w:name w:val="List 2"/>
    <w:basedOn w:val="1"/>
    <w:unhideWhenUsed/>
    <w:qFormat/>
    <w:uiPriority w:val="0"/>
    <w:pPr>
      <w:spacing w:line="240" w:lineRule="auto"/>
      <w:ind w:firstLine="0" w:firstLineChars="0"/>
      <w:contextualSpacing/>
      <w:jc w:val="center"/>
    </w:pPr>
    <w:rPr>
      <w:sz w:val="21"/>
    </w:rPr>
  </w:style>
  <w:style w:type="paragraph" w:styleId="15">
    <w:name w:val="toc 3"/>
    <w:basedOn w:val="1"/>
    <w:next w:val="1"/>
    <w:unhideWhenUsed/>
    <w:qFormat/>
    <w:uiPriority w:val="39"/>
    <w:pPr>
      <w:ind w:left="840" w:leftChars="400"/>
    </w:pPr>
  </w:style>
  <w:style w:type="paragraph" w:styleId="16">
    <w:name w:val="Plain Text"/>
    <w:basedOn w:val="1"/>
    <w:link w:val="42"/>
    <w:unhideWhenUsed/>
    <w:qFormat/>
    <w:uiPriority w:val="99"/>
    <w:pPr>
      <w:ind w:firstLine="482"/>
    </w:pPr>
    <w:rPr>
      <w:rFonts w:ascii="宋体" w:hAnsi="Courier New"/>
    </w:rPr>
  </w:style>
  <w:style w:type="paragraph" w:styleId="17">
    <w:name w:val="footer"/>
    <w:basedOn w:val="1"/>
    <w:link w:val="30"/>
    <w:unhideWhenUsed/>
    <w:qFormat/>
    <w:uiPriority w:val="99"/>
    <w:pPr>
      <w:tabs>
        <w:tab w:val="center" w:pos="4153"/>
        <w:tab w:val="right" w:pos="8306"/>
      </w:tabs>
      <w:snapToGrid w:val="0"/>
      <w:jc w:val="left"/>
    </w:pPr>
    <w:rPr>
      <w:sz w:val="18"/>
      <w:szCs w:val="18"/>
    </w:rPr>
  </w:style>
  <w:style w:type="paragraph" w:styleId="18">
    <w:name w:val="toc 1"/>
    <w:basedOn w:val="1"/>
    <w:next w:val="1"/>
    <w:unhideWhenUsed/>
    <w:qFormat/>
    <w:uiPriority w:val="39"/>
  </w:style>
  <w:style w:type="paragraph" w:styleId="19">
    <w:name w:val="toc 2"/>
    <w:basedOn w:val="1"/>
    <w:next w:val="1"/>
    <w:unhideWhenUsed/>
    <w:qFormat/>
    <w:uiPriority w:val="39"/>
    <w:pPr>
      <w:ind w:left="420" w:leftChars="200"/>
    </w:pPr>
  </w:style>
  <w:style w:type="paragraph" w:styleId="20">
    <w:name w:val="Title"/>
    <w:basedOn w:val="10"/>
    <w:link w:val="45"/>
    <w:qFormat/>
    <w:uiPriority w:val="99"/>
    <w:pPr>
      <w:keepNext w:val="0"/>
      <w:spacing w:beforeLines="50" w:afterLines="50" w:line="360" w:lineRule="auto"/>
    </w:pPr>
    <w:rPr>
      <w:rFonts w:ascii="仿宋" w:hAnsi="仿宋"/>
      <w:kern w:val="21"/>
      <w:sz w:val="28"/>
      <w:szCs w:val="28"/>
    </w:rPr>
  </w:style>
  <w:style w:type="paragraph" w:styleId="21">
    <w:name w:val="annotation subject"/>
    <w:basedOn w:val="13"/>
    <w:next w:val="13"/>
    <w:link w:val="54"/>
    <w:semiHidden/>
    <w:unhideWhenUsed/>
    <w:qFormat/>
    <w:uiPriority w:val="99"/>
    <w:rPr>
      <w:b/>
      <w:bCs/>
    </w:rPr>
  </w:style>
  <w:style w:type="table" w:styleId="23">
    <w:name w:val="Table Grid"/>
    <w:basedOn w:val="22"/>
    <w:qFormat/>
    <w:uiPriority w:val="39"/>
    <w:rPr>
      <w:rFonts w:ascii="Times New Roman" w:hAnsi="Times New Roman" w:eastAsia="Times New Roman"/>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25">
    <w:name w:val="FollowedHyperlink"/>
    <w:unhideWhenUsed/>
    <w:qFormat/>
    <w:uiPriority w:val="99"/>
    <w:rPr>
      <w:color w:val="800080"/>
      <w:u w:val="single"/>
    </w:rPr>
  </w:style>
  <w:style w:type="character" w:styleId="26">
    <w:name w:val="Hyperlink"/>
    <w:unhideWhenUsed/>
    <w:qFormat/>
    <w:uiPriority w:val="99"/>
    <w:rPr>
      <w:color w:val="0000FF"/>
      <w:u w:val="single"/>
    </w:rPr>
  </w:style>
  <w:style w:type="character" w:styleId="27">
    <w:name w:val="annotation reference"/>
    <w:semiHidden/>
    <w:unhideWhenUsed/>
    <w:qFormat/>
    <w:uiPriority w:val="99"/>
    <w:rPr>
      <w:sz w:val="21"/>
      <w:szCs w:val="21"/>
    </w:rPr>
  </w:style>
  <w:style w:type="paragraph" w:customStyle="1" w:styleId="28">
    <w:name w:val="Char"/>
    <w:basedOn w:val="1"/>
    <w:next w:val="1"/>
    <w:qFormat/>
    <w:uiPriority w:val="0"/>
    <w:pPr>
      <w:widowControl/>
      <w:snapToGrid w:val="0"/>
      <w:spacing w:after="160" w:line="240" w:lineRule="exact"/>
      <w:jc w:val="left"/>
    </w:pPr>
    <w:rPr>
      <w:rFonts w:asciiTheme="minorHAnsi" w:hAnsiTheme="minorHAnsi" w:eastAsiaTheme="minorEastAsia" w:cstheme="minorBidi"/>
      <w:szCs w:val="20"/>
    </w:rPr>
  </w:style>
  <w:style w:type="character" w:customStyle="1" w:styleId="29">
    <w:name w:val="页眉 字符"/>
    <w:link w:val="4"/>
    <w:qFormat/>
    <w:uiPriority w:val="99"/>
    <w:rPr>
      <w:sz w:val="18"/>
      <w:szCs w:val="18"/>
    </w:rPr>
  </w:style>
  <w:style w:type="character" w:customStyle="1" w:styleId="30">
    <w:name w:val="页脚 字符"/>
    <w:link w:val="17"/>
    <w:qFormat/>
    <w:uiPriority w:val="99"/>
    <w:rPr>
      <w:sz w:val="18"/>
      <w:szCs w:val="18"/>
    </w:rPr>
  </w:style>
  <w:style w:type="character" w:customStyle="1" w:styleId="31">
    <w:name w:val="标题 1 字符"/>
    <w:link w:val="9"/>
    <w:qFormat/>
    <w:uiPriority w:val="99"/>
    <w:rPr>
      <w:rFonts w:ascii="Times New Roman" w:hAnsi="Times New Roman" w:eastAsia="仿宋"/>
      <w:b/>
      <w:bCs/>
      <w:kern w:val="44"/>
      <w:sz w:val="30"/>
      <w:szCs w:val="44"/>
    </w:rPr>
  </w:style>
  <w:style w:type="character" w:customStyle="1" w:styleId="32">
    <w:name w:val="标题 2 字符"/>
    <w:link w:val="10"/>
    <w:qFormat/>
    <w:uiPriority w:val="99"/>
    <w:rPr>
      <w:rFonts w:ascii="Times New Roman" w:hAnsi="Times New Roman" w:eastAsia="仿宋"/>
      <w:b/>
      <w:bCs/>
      <w:kern w:val="2"/>
      <w:sz w:val="28"/>
      <w:szCs w:val="32"/>
    </w:rPr>
  </w:style>
  <w:style w:type="character" w:customStyle="1" w:styleId="33">
    <w:name w:val="标题 3 字符"/>
    <w:link w:val="11"/>
    <w:qFormat/>
    <w:uiPriority w:val="99"/>
    <w:rPr>
      <w:rFonts w:ascii="Times New Roman" w:hAnsi="Times New Roman" w:eastAsia="宋体"/>
      <w:b/>
      <w:bCs/>
      <w:kern w:val="2"/>
      <w:sz w:val="24"/>
      <w:szCs w:val="32"/>
    </w:rPr>
  </w:style>
  <w:style w:type="paragraph" w:customStyle="1" w:styleId="34">
    <w:name w:val="msonormal"/>
    <w:basedOn w:val="1"/>
    <w:qFormat/>
    <w:uiPriority w:val="0"/>
    <w:pPr>
      <w:widowControl/>
      <w:spacing w:before="100" w:beforeAutospacing="1" w:after="100" w:afterAutospacing="1"/>
      <w:jc w:val="left"/>
    </w:pPr>
    <w:rPr>
      <w:rFonts w:ascii="宋体" w:hAnsi="宋体" w:cs="宋体"/>
      <w:kern w:val="0"/>
      <w:szCs w:val="24"/>
    </w:rPr>
  </w:style>
  <w:style w:type="paragraph" w:customStyle="1" w:styleId="35">
    <w:name w:val="默认"/>
    <w:basedOn w:val="1"/>
    <w:qFormat/>
    <w:uiPriority w:val="0"/>
    <w:pPr>
      <w:widowControl/>
      <w:jc w:val="left"/>
    </w:pPr>
    <w:rPr>
      <w:rFonts w:ascii="Helvetica" w:hAnsi="Arial Unicode MS" w:cs="宋体"/>
      <w:color w:val="000000"/>
      <w:kern w:val="0"/>
      <w:sz w:val="22"/>
      <w:szCs w:val="22"/>
    </w:rPr>
  </w:style>
  <w:style w:type="paragraph" w:customStyle="1" w:styleId="36">
    <w:name w:val="目录 21"/>
    <w:basedOn w:val="1"/>
    <w:next w:val="1"/>
    <w:semiHidden/>
    <w:qFormat/>
    <w:uiPriority w:val="0"/>
    <w:pPr>
      <w:spacing w:before="100" w:beforeAutospacing="1" w:after="100" w:afterAutospacing="1"/>
      <w:ind w:left="210"/>
      <w:jc w:val="left"/>
    </w:pPr>
    <w:rPr>
      <w:rFonts w:ascii="Calibri" w:hAnsi="Calibri"/>
      <w:smallCaps/>
      <w:sz w:val="20"/>
      <w:szCs w:val="20"/>
    </w:rPr>
  </w:style>
  <w:style w:type="paragraph" w:customStyle="1" w:styleId="37">
    <w:name w:val="目录 11"/>
    <w:basedOn w:val="1"/>
    <w:next w:val="1"/>
    <w:semiHidden/>
    <w:qFormat/>
    <w:uiPriority w:val="0"/>
    <w:pPr>
      <w:spacing w:before="120" w:after="120"/>
      <w:jc w:val="left"/>
    </w:pPr>
    <w:rPr>
      <w:rFonts w:ascii="Calibri" w:hAnsi="Calibri"/>
      <w:b/>
      <w:bCs/>
      <w:caps/>
      <w:sz w:val="20"/>
      <w:szCs w:val="20"/>
    </w:rPr>
  </w:style>
  <w:style w:type="paragraph" w:customStyle="1" w:styleId="38">
    <w:name w:val="一级条标题"/>
    <w:basedOn w:val="1"/>
    <w:next w:val="1"/>
    <w:qFormat/>
    <w:uiPriority w:val="0"/>
    <w:pPr>
      <w:widowControl/>
      <w:spacing w:before="100" w:beforeAutospacing="1" w:after="100" w:afterAutospacing="1"/>
      <w:ind w:left="720" w:hanging="720"/>
      <w:jc w:val="left"/>
      <w:outlineLvl w:val="2"/>
    </w:pPr>
    <w:rPr>
      <w:rFonts w:ascii="Calibri" w:hAnsi="Calibri" w:eastAsia="黑体"/>
    </w:rPr>
  </w:style>
  <w:style w:type="paragraph" w:customStyle="1" w:styleId="39">
    <w:name w:val="_Style 2"/>
    <w:basedOn w:val="1"/>
    <w:qFormat/>
    <w:uiPriority w:val="0"/>
    <w:pPr>
      <w:ind w:firstLine="420"/>
    </w:pPr>
    <w:rPr>
      <w:rFonts w:ascii="Calibri" w:hAnsi="Calibri"/>
    </w:rPr>
  </w:style>
  <w:style w:type="paragraph" w:customStyle="1" w:styleId="40">
    <w:name w:val="表中数据"/>
    <w:basedOn w:val="1"/>
    <w:link w:val="59"/>
    <w:qFormat/>
    <w:uiPriority w:val="0"/>
    <w:pPr>
      <w:jc w:val="center"/>
    </w:pPr>
    <w:rPr>
      <w:rFonts w:cs="宋体"/>
      <w:sz w:val="18"/>
      <w:szCs w:val="18"/>
    </w:rPr>
  </w:style>
  <w:style w:type="paragraph" w:customStyle="1" w:styleId="41">
    <w:name w:val="表"/>
    <w:basedOn w:val="1"/>
    <w:next w:val="1"/>
    <w:qFormat/>
    <w:uiPriority w:val="0"/>
    <w:pPr>
      <w:adjustRightInd w:val="0"/>
      <w:spacing w:before="120" w:after="100" w:afterAutospacing="1"/>
      <w:jc w:val="center"/>
      <w:textAlignment w:val="baseline"/>
    </w:pPr>
    <w:rPr>
      <w:rFonts w:ascii="Calibri" w:hAnsi="Calibri"/>
    </w:rPr>
  </w:style>
  <w:style w:type="character" w:customStyle="1" w:styleId="42">
    <w:name w:val="纯文本 字符"/>
    <w:link w:val="16"/>
    <w:qFormat/>
    <w:uiPriority w:val="99"/>
    <w:rPr>
      <w:rFonts w:ascii="宋体" w:hAnsi="Courier New" w:eastAsia="宋体" w:cs="Times New Roman"/>
      <w:szCs w:val="21"/>
    </w:rPr>
  </w:style>
  <w:style w:type="paragraph" w:customStyle="1" w:styleId="43">
    <w:name w:val="表内容"/>
    <w:basedOn w:val="1"/>
    <w:next w:val="1"/>
    <w:qFormat/>
    <w:uiPriority w:val="0"/>
    <w:pPr>
      <w:spacing w:line="320" w:lineRule="exact"/>
      <w:jc w:val="center"/>
    </w:pPr>
    <w:rPr>
      <w:rFonts w:ascii="Calibri" w:hAnsi="Calibri"/>
    </w:rPr>
  </w:style>
  <w:style w:type="paragraph" w:customStyle="1" w:styleId="44">
    <w:name w:val="表格"/>
    <w:basedOn w:val="1"/>
    <w:qFormat/>
    <w:uiPriority w:val="0"/>
    <w:pPr>
      <w:adjustRightInd w:val="0"/>
      <w:snapToGrid w:val="0"/>
      <w:spacing w:line="360" w:lineRule="atLeast"/>
      <w:jc w:val="center"/>
    </w:pPr>
    <w:rPr>
      <w:rFonts w:ascii="Calibri" w:hAnsi="Calibri"/>
    </w:rPr>
  </w:style>
  <w:style w:type="character" w:customStyle="1" w:styleId="45">
    <w:name w:val="标题 字符"/>
    <w:link w:val="20"/>
    <w:qFormat/>
    <w:uiPriority w:val="99"/>
    <w:rPr>
      <w:rFonts w:ascii="仿宋" w:hAnsi="仿宋" w:eastAsia="仿宋" w:cs="Times New Roman"/>
      <w:b/>
      <w:bCs/>
      <w:kern w:val="21"/>
      <w:sz w:val="28"/>
      <w:szCs w:val="28"/>
    </w:rPr>
  </w:style>
  <w:style w:type="paragraph" w:customStyle="1" w:styleId="46">
    <w:name w:val="Default"/>
    <w:basedOn w:val="1"/>
    <w:qFormat/>
    <w:uiPriority w:val="0"/>
    <w:pPr>
      <w:autoSpaceDE w:val="0"/>
      <w:autoSpaceDN w:val="0"/>
      <w:adjustRightInd w:val="0"/>
      <w:jc w:val="left"/>
    </w:pPr>
    <w:rPr>
      <w:rFonts w:ascii="宋体" w:hAnsi="宋体" w:cs="宋体"/>
      <w:color w:val="000000"/>
      <w:kern w:val="0"/>
      <w:szCs w:val="24"/>
    </w:rPr>
  </w:style>
  <w:style w:type="paragraph" w:customStyle="1" w:styleId="47">
    <w:name w:val="CM12"/>
    <w:basedOn w:val="46"/>
    <w:next w:val="46"/>
    <w:qFormat/>
    <w:uiPriority w:val="0"/>
    <w:pPr>
      <w:spacing w:line="468" w:lineRule="atLeast"/>
    </w:pPr>
    <w:rPr>
      <w:rFonts w:ascii="Times New Roman" w:hAnsi="Times New Roman" w:cs="Times New Roman"/>
      <w:color w:val="auto"/>
    </w:rPr>
  </w:style>
  <w:style w:type="paragraph" w:customStyle="1" w:styleId="48">
    <w:name w:val="CM14"/>
    <w:basedOn w:val="46"/>
    <w:next w:val="46"/>
    <w:qFormat/>
    <w:uiPriority w:val="0"/>
    <w:rPr>
      <w:rFonts w:ascii="Times New Roman" w:hAnsi="Times New Roman" w:cs="Times New Roman"/>
      <w:color w:val="auto"/>
    </w:rPr>
  </w:style>
  <w:style w:type="character" w:customStyle="1" w:styleId="49">
    <w:name w:val="10"/>
    <w:qFormat/>
    <w:uiPriority w:val="0"/>
    <w:rPr>
      <w:rFonts w:hint="default" w:ascii="Times New Roman" w:hAnsi="Times New Roman" w:cs="Times New Roman"/>
    </w:rPr>
  </w:style>
  <w:style w:type="character" w:customStyle="1" w:styleId="50">
    <w:name w:val="15"/>
    <w:qFormat/>
    <w:uiPriority w:val="0"/>
    <w:rPr>
      <w:rFonts w:hint="default" w:ascii="Times New Roman" w:hAnsi="Times New Roman" w:cs="Times New Roman"/>
      <w:color w:val="0000FF"/>
      <w:u w:val="single"/>
    </w:rPr>
  </w:style>
  <w:style w:type="character" w:customStyle="1" w:styleId="51">
    <w:name w:val="16"/>
    <w:qFormat/>
    <w:uiPriority w:val="0"/>
    <w:rPr>
      <w:rFonts w:hint="default" w:ascii="Times New Roman" w:hAnsi="Times New Roman" w:cs="Times New Roman"/>
    </w:rPr>
  </w:style>
  <w:style w:type="paragraph" w:customStyle="1" w:styleId="52">
    <w:name w:val="CM36"/>
    <w:basedOn w:val="46"/>
    <w:next w:val="46"/>
    <w:qFormat/>
    <w:uiPriority w:val="0"/>
    <w:pPr>
      <w:spacing w:before="100" w:beforeAutospacing="1" w:after="195"/>
    </w:pPr>
    <w:rPr>
      <w:rFonts w:ascii="Times New Roman" w:hAnsi="Times New Roman" w:cs="Times New Roman"/>
      <w:color w:val="auto"/>
    </w:rPr>
  </w:style>
  <w:style w:type="character" w:customStyle="1" w:styleId="53">
    <w:name w:val="批注文字 字符"/>
    <w:link w:val="13"/>
    <w:semiHidden/>
    <w:qFormat/>
    <w:uiPriority w:val="99"/>
    <w:rPr>
      <w:rFonts w:ascii="Times New Roman" w:hAnsi="Times New Roman" w:eastAsia="宋体" w:cs="Times New Roman"/>
      <w:szCs w:val="21"/>
    </w:rPr>
  </w:style>
  <w:style w:type="character" w:customStyle="1" w:styleId="54">
    <w:name w:val="批注主题 字符"/>
    <w:link w:val="21"/>
    <w:semiHidden/>
    <w:qFormat/>
    <w:uiPriority w:val="99"/>
    <w:rPr>
      <w:rFonts w:ascii="Times New Roman" w:hAnsi="Times New Roman" w:eastAsia="宋体" w:cs="Times New Roman"/>
      <w:b/>
      <w:bCs/>
      <w:szCs w:val="21"/>
    </w:rPr>
  </w:style>
  <w:style w:type="paragraph" w:customStyle="1" w:styleId="55">
    <w:name w:val="表头"/>
    <w:link w:val="57"/>
    <w:qFormat/>
    <w:uiPriority w:val="0"/>
    <w:pPr>
      <w:snapToGrid w:val="0"/>
      <w:jc w:val="center"/>
    </w:pPr>
    <w:rPr>
      <w:rFonts w:ascii="Times New Roman" w:hAnsi="Times New Roman" w:eastAsia="仿宋" w:cs="Times New Roman"/>
      <w:b/>
      <w:kern w:val="2"/>
      <w:sz w:val="24"/>
      <w:szCs w:val="21"/>
      <w:lang w:val="en-US" w:eastAsia="zh-CN" w:bidi="ar-SA"/>
    </w:rPr>
  </w:style>
  <w:style w:type="paragraph" w:customStyle="1" w:styleId="56">
    <w:name w:val="表格内容"/>
    <w:basedOn w:val="55"/>
    <w:next w:val="1"/>
    <w:link w:val="60"/>
    <w:qFormat/>
    <w:uiPriority w:val="0"/>
    <w:rPr>
      <w:b w:val="0"/>
    </w:rPr>
  </w:style>
  <w:style w:type="character" w:customStyle="1" w:styleId="57">
    <w:name w:val="表头 字符"/>
    <w:link w:val="55"/>
    <w:qFormat/>
    <w:uiPriority w:val="0"/>
    <w:rPr>
      <w:rFonts w:ascii="Times New Roman" w:hAnsi="Times New Roman" w:eastAsia="仿宋"/>
      <w:b/>
      <w:kern w:val="2"/>
      <w:sz w:val="24"/>
      <w:szCs w:val="21"/>
    </w:rPr>
  </w:style>
  <w:style w:type="paragraph" w:customStyle="1" w:styleId="58">
    <w:name w:val="表格正文"/>
    <w:basedOn w:val="55"/>
    <w:link w:val="61"/>
    <w:qFormat/>
    <w:uiPriority w:val="0"/>
    <w:pPr>
      <w:widowControl w:val="0"/>
      <w:snapToGrid/>
    </w:pPr>
    <w:rPr>
      <w:b w:val="0"/>
      <w:color w:val="0D0D0D"/>
      <w:szCs w:val="22"/>
    </w:rPr>
  </w:style>
  <w:style w:type="character" w:customStyle="1" w:styleId="59">
    <w:name w:val="表中数据 字符"/>
    <w:link w:val="40"/>
    <w:qFormat/>
    <w:uiPriority w:val="0"/>
    <w:rPr>
      <w:rFonts w:ascii="Times New Roman" w:hAnsi="Times New Roman" w:cs="宋体"/>
      <w:kern w:val="2"/>
      <w:sz w:val="18"/>
      <w:szCs w:val="18"/>
    </w:rPr>
  </w:style>
  <w:style w:type="character" w:customStyle="1" w:styleId="60">
    <w:name w:val="表格内容 字符"/>
    <w:link w:val="56"/>
    <w:qFormat/>
    <w:uiPriority w:val="0"/>
    <w:rPr>
      <w:rFonts w:ascii="Times New Roman" w:hAnsi="Times New Roman" w:cs="宋体"/>
      <w:kern w:val="2"/>
      <w:sz w:val="21"/>
      <w:szCs w:val="21"/>
    </w:rPr>
  </w:style>
  <w:style w:type="character" w:customStyle="1" w:styleId="61">
    <w:name w:val="表格正文 字符"/>
    <w:link w:val="58"/>
    <w:qFormat/>
    <w:uiPriority w:val="0"/>
    <w:rPr>
      <w:rFonts w:ascii="Times New Roman" w:hAnsi="Times New Roman"/>
      <w:color w:val="0D0D0D"/>
      <w:kern w:val="2"/>
      <w:sz w:val="21"/>
      <w:szCs w:val="22"/>
    </w:rPr>
  </w:style>
  <w:style w:type="table" w:customStyle="1" w:styleId="62">
    <w:name w:val="灰度表格2"/>
    <w:basedOn w:val="22"/>
    <w:qFormat/>
    <w:uiPriority w:val="39"/>
    <w:rPr>
      <w:rFonts w:ascii="Times New Roman" w:hAnsi="Times New Roman"/>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63">
    <w:name w:val="TOC 标题1"/>
    <w:basedOn w:val="9"/>
    <w:next w:val="1"/>
    <w:unhideWhenUsed/>
    <w:qFormat/>
    <w:uiPriority w:val="39"/>
    <w:pPr>
      <w:widowControl/>
      <w:spacing w:before="240" w:line="259" w:lineRule="auto"/>
      <w:jc w:val="left"/>
      <w:outlineLvl w:val="9"/>
    </w:pPr>
    <w:rPr>
      <w:rFonts w:ascii="等线 Light" w:hAnsi="等线 Light" w:eastAsia="等线 Light"/>
      <w:b w:val="0"/>
      <w:bCs w:val="0"/>
      <w:color w:val="2F5496"/>
      <w:kern w:val="0"/>
      <w:sz w:val="32"/>
      <w:szCs w:val="32"/>
    </w:rPr>
  </w:style>
  <w:style w:type="character" w:customStyle="1" w:styleId="64">
    <w:name w:val="标题 4 字符"/>
    <w:basedOn w:val="24"/>
    <w:link w:val="12"/>
    <w:qFormat/>
    <w:uiPriority w:val="9"/>
    <w:rPr>
      <w:rFonts w:asciiTheme="majorHAnsi" w:hAnsiTheme="majorHAnsi" w:eastAsiaTheme="majorEastAsia" w:cstheme="majorBidi"/>
      <w:b/>
      <w:bCs/>
      <w:kern w:val="2"/>
      <w:sz w:val="28"/>
      <w:szCs w:val="28"/>
    </w:rPr>
  </w:style>
  <w:style w:type="paragraph" w:customStyle="1" w:styleId="65">
    <w:name w:val="修订1"/>
    <w:hidden/>
    <w:semiHidden/>
    <w:qFormat/>
    <w:uiPriority w:val="99"/>
    <w:rPr>
      <w:rFonts w:ascii="Times New Roman" w:hAnsi="Times New Roman" w:eastAsia="宋体" w:cs="Times New Roman"/>
      <w:kern w:val="2"/>
      <w:sz w:val="24"/>
      <w:szCs w:val="21"/>
      <w:lang w:val="en-US" w:eastAsia="zh-CN" w:bidi="ar-SA"/>
    </w:rPr>
  </w:style>
  <w:style w:type="paragraph" w:customStyle="1" w:styleId="66">
    <w:name w:val="TOC Heading"/>
    <w:basedOn w:val="9"/>
    <w:next w:val="1"/>
    <w:unhideWhenUsed/>
    <w:qFormat/>
    <w:uiPriority w:val="39"/>
    <w:pPr>
      <w:widowControl/>
      <w:spacing w:before="240" w:line="259" w:lineRule="auto"/>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67">
    <w:name w:val="fontstyle21"/>
    <w:basedOn w:val="24"/>
    <w:qFormat/>
    <w:uiPriority w:val="0"/>
    <w:rPr>
      <w:rFonts w:hint="default" w:ascii="TimesNewRomanPSMT" w:hAnsi="TimesNewRomanPSMT"/>
      <w:color w:val="000000"/>
      <w:sz w:val="22"/>
      <w:szCs w:val="22"/>
    </w:rPr>
  </w:style>
  <w:style w:type="character" w:customStyle="1" w:styleId="68">
    <w:name w:val="fontstyle01"/>
    <w:basedOn w:val="24"/>
    <w:qFormat/>
    <w:uiPriority w:val="0"/>
    <w:rPr>
      <w:rFonts w:hint="eastAsia" w:ascii="宋体" w:hAnsi="宋体" w:eastAsia="宋体"/>
      <w:color w:val="000000"/>
      <w:sz w:val="22"/>
      <w:szCs w:val="22"/>
    </w:rPr>
  </w:style>
  <w:style w:type="character" w:customStyle="1" w:styleId="69">
    <w:name w:val="Unresolved Mention"/>
    <w:basedOn w:val="24"/>
    <w:semiHidden/>
    <w:unhideWhenUsed/>
    <w:qFormat/>
    <w:uiPriority w:val="99"/>
    <w:rPr>
      <w:color w:val="605E5C"/>
      <w:shd w:val="clear" w:color="auto" w:fill="E1DFDD"/>
    </w:rPr>
  </w:style>
  <w:style w:type="paragraph" w:styleId="70">
    <w:name w:val="List Paragraph"/>
    <w:basedOn w:val="1"/>
    <w:qFormat/>
    <w:uiPriority w:val="99"/>
    <w:pPr>
      <w:ind w:firstLine="420"/>
    </w:pPr>
  </w:style>
  <w:style w:type="paragraph" w:customStyle="1" w:styleId="71">
    <w:name w:val="正文1"/>
    <w:basedOn w:val="1"/>
    <w:qFormat/>
    <w:uiPriority w:val="0"/>
    <w:rPr>
      <w:szCs w:val="28"/>
    </w:rPr>
  </w:style>
  <w:style w:type="table" w:customStyle="1" w:styleId="72">
    <w:name w:val="网格型5"/>
    <w:basedOn w:val="22"/>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73">
    <w:name w:val="表标题+图表题"/>
    <w:basedOn w:val="1"/>
    <w:qFormat/>
    <w:uiPriority w:val="0"/>
    <w:pPr>
      <w:snapToGrid w:val="0"/>
      <w:spacing w:line="240" w:lineRule="auto"/>
      <w:ind w:firstLine="0" w:firstLineChars="0"/>
      <w:jc w:val="center"/>
    </w:pPr>
    <w:rPr>
      <w:rFonts w:eastAsia="黑体"/>
      <w:sz w:val="21"/>
    </w:rPr>
  </w:style>
  <w:style w:type="table" w:customStyle="1" w:styleId="74">
    <w:name w:val="网格型9"/>
    <w:basedOn w:val="22"/>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75">
    <w:name w:val="网格型10"/>
    <w:basedOn w:val="22"/>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table" w:customStyle="1" w:styleId="76">
    <w:name w:val="网格型11"/>
    <w:basedOn w:val="22"/>
    <w:qFormat/>
    <w:uiPriority w:val="3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4" Type="http://schemas.openxmlformats.org/officeDocument/2006/relationships/fontTable" Target="fontTable.xml"/><Relationship Id="rId33" Type="http://schemas.openxmlformats.org/officeDocument/2006/relationships/customXml" Target="../customXml/item2.xml"/><Relationship Id="rId32" Type="http://schemas.openxmlformats.org/officeDocument/2006/relationships/numbering" Target="numbering.xml"/><Relationship Id="rId31" Type="http://schemas.openxmlformats.org/officeDocument/2006/relationships/customXml" Target="../customXml/item1.xml"/><Relationship Id="rId30" Type="http://schemas.openxmlformats.org/officeDocument/2006/relationships/image" Target="media/image11.jpeg"/><Relationship Id="rId3" Type="http://schemas.openxmlformats.org/officeDocument/2006/relationships/footnotes" Target="footnotes.xml"/><Relationship Id="rId29" Type="http://schemas.openxmlformats.org/officeDocument/2006/relationships/image" Target="media/image10.wmf"/><Relationship Id="rId28" Type="http://schemas.openxmlformats.org/officeDocument/2006/relationships/oleObject" Target="embeddings/oleObject2.bin"/><Relationship Id="rId27" Type="http://schemas.openxmlformats.org/officeDocument/2006/relationships/image" Target="media/image9.wmf"/><Relationship Id="rId26" Type="http://schemas.openxmlformats.org/officeDocument/2006/relationships/oleObject" Target="embeddings/oleObject1.bin"/><Relationship Id="rId25" Type="http://schemas.openxmlformats.org/officeDocument/2006/relationships/image" Target="media/image8.jpeg"/><Relationship Id="rId24" Type="http://schemas.openxmlformats.org/officeDocument/2006/relationships/image" Target="media/image7.jpeg"/><Relationship Id="rId23" Type="http://schemas.openxmlformats.org/officeDocument/2006/relationships/image" Target="media/image6.jpeg"/><Relationship Id="rId22" Type="http://schemas.openxmlformats.org/officeDocument/2006/relationships/image" Target="media/image5.jpeg"/><Relationship Id="rId21" Type="http://schemas.openxmlformats.org/officeDocument/2006/relationships/image" Target="media/image4.jpeg"/><Relationship Id="rId20" Type="http://schemas.openxmlformats.org/officeDocument/2006/relationships/image" Target="media/image3.jpeg"/><Relationship Id="rId2" Type="http://schemas.openxmlformats.org/officeDocument/2006/relationships/settings" Target="settings.xml"/><Relationship Id="rId19" Type="http://schemas.openxmlformats.org/officeDocument/2006/relationships/image" Target="media/image2.png"/><Relationship Id="rId18" Type="http://schemas.openxmlformats.org/officeDocument/2006/relationships/image" Target="media/image1.jpeg"/><Relationship Id="rId17" Type="http://schemas.openxmlformats.org/officeDocument/2006/relationships/theme" Target="theme/theme1.xml"/><Relationship Id="rId16" Type="http://schemas.openxmlformats.org/officeDocument/2006/relationships/footer" Target="footer6.xml"/><Relationship Id="rId15" Type="http://schemas.openxmlformats.org/officeDocument/2006/relationships/footer" Target="footer5.xml"/><Relationship Id="rId14" Type="http://schemas.openxmlformats.org/officeDocument/2006/relationships/footer" Target="footer4.xml"/><Relationship Id="rId13" Type="http://schemas.openxmlformats.org/officeDocument/2006/relationships/header" Target="header6.xml"/><Relationship Id="rId12" Type="http://schemas.openxmlformats.org/officeDocument/2006/relationships/header" Target="header5.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Info spid="_x0000_s1027"/>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6FACEBD-80CA-41AE-84A9-5C294F69E265}">
  <ds:schemaRefs/>
</ds:datastoreItem>
</file>

<file path=docProps/app.xml><?xml version="1.0" encoding="utf-8"?>
<Properties xmlns="http://schemas.openxmlformats.org/officeDocument/2006/extended-properties" xmlns:vt="http://schemas.openxmlformats.org/officeDocument/2006/docPropsVTypes">
  <Template>Normal</Template>
  <Pages>49</Pages>
  <Words>30761</Words>
  <Characters>33529</Characters>
  <Lines>267</Lines>
  <Paragraphs>75</Paragraphs>
  <TotalTime>0</TotalTime>
  <ScaleCrop>false</ScaleCrop>
  <LinksUpToDate>false</LinksUpToDate>
  <CharactersWithSpaces>33868</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2021-09-16T08:02:00Z</dcterms:created>
  <dc:creator>Administrator</dc:creator>
  <cp:lastModifiedBy>胡乱唱歌</cp:lastModifiedBy>
  <dcterms:modified xsi:type="dcterms:W3CDTF">2023-05-31T02:20:26Z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EDDEEC1FBA6A4DE7A339752958DD5E78</vt:lpwstr>
  </property>
</Properties>
</file>